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076D" w14:textId="77777777" w:rsidR="005B7783" w:rsidRDefault="0050500F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第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/>
          <w:b/>
          <w:sz w:val="32"/>
        </w:rPr>
        <w:t>期專題任務</w:t>
      </w:r>
      <w:r>
        <w:rPr>
          <w:rFonts w:ascii="標楷體" w:eastAsia="標楷體" w:hAnsi="標楷體"/>
          <w:b/>
          <w:sz w:val="32"/>
        </w:rPr>
        <w:t>-</w:t>
      </w:r>
      <w:r>
        <w:rPr>
          <w:rFonts w:ascii="標楷體" w:eastAsia="標楷體" w:hAnsi="標楷體"/>
          <w:b/>
          <w:sz w:val="32"/>
        </w:rPr>
        <w:t>臺灣原住民</w:t>
      </w:r>
    </w:p>
    <w:p w14:paraId="494B9798" w14:textId="77777777" w:rsidR="005B7783" w:rsidRDefault="005B7783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</w:p>
    <w:p w14:paraId="7403887E" w14:textId="77777777" w:rsidR="005B7783" w:rsidRDefault="0050500F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&lt;</w:t>
      </w:r>
      <w:r>
        <w:rPr>
          <w:rFonts w:ascii="標楷體" w:eastAsia="標楷體" w:hAnsi="標楷體"/>
          <w:b/>
          <w:sz w:val="28"/>
        </w:rPr>
        <w:t>初階題</w:t>
      </w:r>
      <w:r>
        <w:rPr>
          <w:rFonts w:ascii="標楷體" w:eastAsia="標楷體" w:hAnsi="標楷體"/>
          <w:b/>
          <w:sz w:val="28"/>
        </w:rPr>
        <w:t xml:space="preserve">&gt; </w:t>
      </w:r>
    </w:p>
    <w:p w14:paraId="469847A7" w14:textId="77777777" w:rsidR="005B7783" w:rsidRDefault="0050500F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請閱讀以下文章，回答相關問題</w:t>
      </w:r>
      <w:r>
        <w:rPr>
          <w:rFonts w:ascii="標楷體" w:eastAsia="標楷體" w:hAnsi="標楷體"/>
          <w:sz w:val="28"/>
        </w:rPr>
        <w:t xml:space="preserve"> :</w:t>
      </w:r>
    </w:p>
    <w:p w14:paraId="5B01B180" w14:textId="77777777" w:rsidR="005B7783" w:rsidRDefault="0050500F">
      <w:pPr>
        <w:spacing w:line="400" w:lineRule="exact"/>
      </w:pP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C70CF" wp14:editId="5F60B04E">
                <wp:simplePos x="0" y="0"/>
                <wp:positionH relativeFrom="margin">
                  <wp:posOffset>-120015</wp:posOffset>
                </wp:positionH>
                <wp:positionV relativeFrom="paragraph">
                  <wp:posOffset>136529</wp:posOffset>
                </wp:positionV>
                <wp:extent cx="6362696" cy="7677146"/>
                <wp:effectExtent l="0" t="0" r="19054" b="19054"/>
                <wp:wrapNone/>
                <wp:docPr id="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767714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1B543D0" id="矩形 11" o:spid="_x0000_s1026" style="position:absolute;margin-left:-9.45pt;margin-top:10.75pt;width:501pt;height:604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" filled="f" strokecolor="#2f528f" strokeweight=".52906mm">
                <v:textbox inset="0,0,0,0"/>
                <w10:wrap anchorx="margin"/>
              </v:rect>
            </w:pict>
          </mc:Fallback>
        </mc:AlternateContent>
      </w:r>
    </w:p>
    <w:p w14:paraId="6B03618D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臺灣是一個美麗的島嶼，擁有豐富的文化和多樣的自然環境。在這片土地上，原本就居住著一群具有獨特文化的民族，是在臺灣島上最早的居民，他們是臺灣原住民。他們有自己的語言、文化和傳統，與漢族文化有著明顯的不同。臺灣原住民大約有</w:t>
      </w:r>
      <w:r>
        <w:rPr>
          <w:rFonts w:ascii="標楷體" w:eastAsia="標楷體" w:hAnsi="標楷體"/>
          <w:sz w:val="28"/>
        </w:rPr>
        <w:t>16</w:t>
      </w:r>
      <w:r>
        <w:rPr>
          <w:rFonts w:ascii="標楷體" w:eastAsia="標楷體" w:hAnsi="標楷體"/>
          <w:sz w:val="28"/>
        </w:rPr>
        <w:t>個主要族群，每</w:t>
      </w:r>
      <w:proofErr w:type="gramStart"/>
      <w:r>
        <w:rPr>
          <w:rFonts w:ascii="標楷體" w:eastAsia="標楷體" w:hAnsi="標楷體"/>
          <w:sz w:val="28"/>
        </w:rPr>
        <w:t>個</w:t>
      </w:r>
      <w:proofErr w:type="gramEnd"/>
      <w:r>
        <w:rPr>
          <w:rFonts w:ascii="標楷體" w:eastAsia="標楷體" w:hAnsi="標楷體"/>
          <w:sz w:val="28"/>
        </w:rPr>
        <w:t>族群都有自己的語言、傳說和風俗習慣。</w:t>
      </w:r>
    </w:p>
    <w:p w14:paraId="7BC24732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color w:val="FF0000"/>
          <w:sz w:val="28"/>
        </w:rPr>
        <w:t>一</w:t>
      </w:r>
      <w:proofErr w:type="gramEnd"/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阿美族</w:t>
      </w:r>
      <w:r>
        <w:rPr>
          <w:rFonts w:ascii="標楷體" w:eastAsia="標楷體" w:hAnsi="標楷體"/>
          <w:sz w:val="28"/>
        </w:rPr>
        <w:t>：阿美族人群聚而居，部落規模大、人口多，祭典活動</w:t>
      </w:r>
      <w:proofErr w:type="gramStart"/>
      <w:r>
        <w:rPr>
          <w:rFonts w:ascii="標楷體" w:eastAsia="標楷體" w:hAnsi="標楷體"/>
          <w:sz w:val="28"/>
        </w:rPr>
        <w:t>特別</w:t>
      </w:r>
      <w:proofErr w:type="gramEnd"/>
      <w:r>
        <w:rPr>
          <w:rFonts w:ascii="標楷體" w:eastAsia="標楷體" w:hAnsi="標楷體"/>
          <w:sz w:val="28"/>
        </w:rPr>
        <w:t>盛大，以每年的豐年祭典最具代表性。他們分佈比較廣泛，主要在立霧溪以南，整個領域比起其他族又更加</w:t>
      </w:r>
      <w:proofErr w:type="gramStart"/>
      <w:r>
        <w:rPr>
          <w:rFonts w:ascii="標楷體" w:eastAsia="標楷體" w:hAnsi="標楷體"/>
          <w:sz w:val="28"/>
        </w:rPr>
        <w:t>狹長喔</w:t>
      </w:r>
      <w:proofErr w:type="gramEnd"/>
      <w:r>
        <w:rPr>
          <w:rFonts w:ascii="標楷體" w:eastAsia="標楷體" w:hAnsi="標楷體"/>
          <w:sz w:val="28"/>
        </w:rPr>
        <w:t>！可以在花蓮縣、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東縣及屏東縣的海岸平原及丘陵地看到阿美族的領地！</w:t>
      </w:r>
    </w:p>
    <w:p w14:paraId="6732356F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二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泰雅族</w:t>
      </w:r>
      <w:r>
        <w:rPr>
          <w:rFonts w:ascii="標楷體" w:eastAsia="標楷體" w:hAnsi="標楷體"/>
          <w:sz w:val="28"/>
        </w:rPr>
        <w:t>：泰雅族社會盛行織布與紋面文化，族人遵守祖先訓示</w:t>
      </w:r>
      <w:r>
        <w:rPr>
          <w:rFonts w:ascii="標楷體" w:eastAsia="標楷體" w:hAnsi="標楷體"/>
          <w:sz w:val="28"/>
        </w:rPr>
        <w:t>gaga</w:t>
      </w:r>
      <w:r>
        <w:rPr>
          <w:rFonts w:ascii="標楷體" w:eastAsia="標楷體" w:hAnsi="標楷體"/>
          <w:sz w:val="28"/>
        </w:rPr>
        <w:t>，以祖靈祭為最重要的祭儀活動。他們的領域不容小覷，可是</w:t>
      </w:r>
      <w:proofErr w:type="gramStart"/>
      <w:r>
        <w:rPr>
          <w:rFonts w:ascii="標楷體" w:eastAsia="標楷體" w:hAnsi="標楷體"/>
          <w:sz w:val="28"/>
        </w:rPr>
        <w:t>佔</w:t>
      </w:r>
      <w:proofErr w:type="gramEnd"/>
      <w:r>
        <w:rPr>
          <w:rFonts w:ascii="標楷體" w:eastAsia="標楷體" w:hAnsi="標楷體"/>
          <w:sz w:val="28"/>
        </w:rPr>
        <w:t>了臺灣中北部三分之一的山區喔！包括中央山脈北部的兩側、埔里至花蓮以北的地區都可見到泰雅族。</w:t>
      </w:r>
    </w:p>
    <w:p w14:paraId="0C38CF4D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三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排灣族</w:t>
      </w:r>
      <w:r>
        <w:rPr>
          <w:rFonts w:ascii="標楷體" w:eastAsia="標楷體" w:hAnsi="標楷體"/>
          <w:sz w:val="28"/>
        </w:rPr>
        <w:t>：排灣族人在小米收成後會舉行「小米收穫祭」。他們以臺灣南部為主要的活動區域，北起大武山地，南達恆春，西自隘寮，東到太麻里以南海岸。</w:t>
      </w:r>
    </w:p>
    <w:p w14:paraId="7A7566A1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四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布農族</w:t>
      </w:r>
      <w:r>
        <w:rPr>
          <w:rFonts w:ascii="標楷體" w:eastAsia="標楷體" w:hAnsi="標楷體"/>
          <w:sz w:val="28"/>
        </w:rPr>
        <w:t>：布農族部落分布在海拔</w:t>
      </w:r>
      <w:r>
        <w:rPr>
          <w:rFonts w:ascii="標楷體" w:eastAsia="標楷體" w:hAnsi="標楷體"/>
          <w:sz w:val="28"/>
        </w:rPr>
        <w:t xml:space="preserve">500 </w:t>
      </w:r>
      <w:r>
        <w:rPr>
          <w:rFonts w:ascii="標楷體" w:eastAsia="標楷體" w:hAnsi="標楷體"/>
          <w:sz w:val="28"/>
        </w:rPr>
        <w:t>至</w:t>
      </w:r>
      <w:r>
        <w:rPr>
          <w:rFonts w:ascii="標楷體" w:eastAsia="標楷體" w:hAnsi="標楷體"/>
          <w:sz w:val="28"/>
        </w:rPr>
        <w:t xml:space="preserve">1,500 </w:t>
      </w:r>
      <w:r>
        <w:rPr>
          <w:rFonts w:ascii="標楷體" w:eastAsia="標楷體" w:hAnsi="標楷體"/>
          <w:sz w:val="28"/>
        </w:rPr>
        <w:t>公尺中央山脈兩側，是原住民族中分布海拔最高的民族，在高雄縣那瑪夏鄉、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東縣海端鄉可見布農族，不過大多</w:t>
      </w:r>
      <w:r>
        <w:rPr>
          <w:rFonts w:ascii="標楷體" w:eastAsia="標楷體" w:hAnsi="標楷體"/>
          <w:sz w:val="28"/>
        </w:rPr>
        <w:t>仍以南投縣的信義鄉和仁愛鄉為主。布農族有精靈</w:t>
      </w:r>
      <w:proofErr w:type="spellStart"/>
      <w:r>
        <w:rPr>
          <w:rFonts w:ascii="標楷體" w:eastAsia="標楷體" w:hAnsi="標楷體"/>
          <w:sz w:val="28"/>
        </w:rPr>
        <w:t>hanitu</w:t>
      </w:r>
      <w:proofErr w:type="spellEnd"/>
      <w:r>
        <w:rPr>
          <w:rFonts w:ascii="標楷體" w:eastAsia="標楷體" w:hAnsi="標楷體"/>
          <w:sz w:val="28"/>
        </w:rPr>
        <w:t>的觀念，相信個人能力、疾病與災禍，都跟精靈</w:t>
      </w:r>
      <w:proofErr w:type="spellStart"/>
      <w:r>
        <w:rPr>
          <w:rFonts w:ascii="標楷體" w:eastAsia="標楷體" w:hAnsi="標楷體"/>
          <w:sz w:val="28"/>
        </w:rPr>
        <w:t>hanitu</w:t>
      </w:r>
      <w:proofErr w:type="spellEnd"/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有關係，家庭以父系大家庭為基礎。</w:t>
      </w:r>
    </w:p>
    <w:p w14:paraId="04EF2E65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五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卑南族</w:t>
      </w:r>
      <w:r>
        <w:rPr>
          <w:rFonts w:ascii="標楷體" w:eastAsia="標楷體" w:hAnsi="標楷體"/>
          <w:sz w:val="28"/>
        </w:rPr>
        <w:t>：卑南族位於多族群交會的平原地帶，很早與外界文化接觸，卻依然持續維繫傳統文化與生活。卑南族社會有嚴謹的年齡階級組織與會所制度；巫法之術（靈術）高強興盛，名聲遠播於各民族之間。他們居住在北</w:t>
      </w:r>
      <w:proofErr w:type="gramStart"/>
      <w:r>
        <w:rPr>
          <w:rFonts w:ascii="標楷體" w:eastAsia="標楷體" w:hAnsi="標楷體"/>
          <w:sz w:val="28"/>
        </w:rPr>
        <w:t>起卑南溪</w:t>
      </w:r>
      <w:proofErr w:type="gramEnd"/>
      <w:r>
        <w:rPr>
          <w:rFonts w:ascii="標楷體" w:eastAsia="標楷體" w:hAnsi="標楷體"/>
          <w:sz w:val="28"/>
        </w:rPr>
        <w:t>流域，南至知本溪</w:t>
      </w:r>
      <w:proofErr w:type="gramStart"/>
      <w:r>
        <w:rPr>
          <w:rFonts w:ascii="標楷體" w:eastAsia="標楷體" w:hAnsi="標楷體"/>
          <w:sz w:val="28"/>
        </w:rPr>
        <w:t>之間近山處的臺</w:t>
      </w:r>
      <w:proofErr w:type="gramEnd"/>
      <w:r>
        <w:rPr>
          <w:rFonts w:ascii="標楷體" w:eastAsia="標楷體" w:hAnsi="標楷體"/>
          <w:sz w:val="28"/>
        </w:rPr>
        <w:t>東平原一帶，主要在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東縱谷南部。</w:t>
      </w:r>
    </w:p>
    <w:p w14:paraId="66D38E90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六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魯凱族</w:t>
      </w:r>
      <w:r>
        <w:rPr>
          <w:rFonts w:ascii="標楷體" w:eastAsia="標楷體" w:hAnsi="標楷體"/>
          <w:sz w:val="28"/>
        </w:rPr>
        <w:t>：魯凱族社會的特色為任務分工縝密的階級制度，以百合花為「魯凱族</w:t>
      </w:r>
      <w:proofErr w:type="gramStart"/>
      <w:r>
        <w:rPr>
          <w:rFonts w:ascii="標楷體" w:eastAsia="標楷體" w:hAnsi="標楷體"/>
          <w:sz w:val="28"/>
        </w:rPr>
        <w:t>族</w:t>
      </w:r>
      <w:proofErr w:type="gramEnd"/>
      <w:r>
        <w:rPr>
          <w:rFonts w:ascii="標楷體" w:eastAsia="標楷體" w:hAnsi="標楷體"/>
          <w:sz w:val="28"/>
        </w:rPr>
        <w:t>花」，以百合花的</w:t>
      </w:r>
      <w:proofErr w:type="gramStart"/>
      <w:r>
        <w:rPr>
          <w:rFonts w:ascii="標楷體" w:eastAsia="標楷體" w:hAnsi="標楷體"/>
          <w:sz w:val="28"/>
        </w:rPr>
        <w:t>配飾</w:t>
      </w:r>
      <w:r>
        <w:rPr>
          <w:rFonts w:ascii="標楷體" w:eastAsia="標楷體" w:hAnsi="標楷體"/>
          <w:sz w:val="28"/>
        </w:rPr>
        <w:t>權最</w:t>
      </w:r>
      <w:proofErr w:type="gramEnd"/>
      <w:r>
        <w:rPr>
          <w:rFonts w:ascii="標楷體" w:eastAsia="標楷體" w:hAnsi="標楷體"/>
          <w:sz w:val="28"/>
        </w:rPr>
        <w:t>富特色，具有表彰聖潔、膽識、勇氣與尊榮的意義，經濟生活以小米種植為主體，小米收穫祭為最重要的祭典。魯凱族主要分佈在中央山脈南段兩側之山地，還有分佈在屏東縣霧台鄉、高雄縣茂林鄉、屏東縣霧台鄉及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東縣東興村等地。</w:t>
      </w:r>
    </w:p>
    <w:p w14:paraId="5D111B27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lastRenderedPageBreak/>
        <w:t>(</w:t>
      </w:r>
      <w:r>
        <w:rPr>
          <w:rFonts w:ascii="標楷體" w:eastAsia="標楷體" w:hAnsi="標楷體"/>
          <w:color w:val="FF0000"/>
          <w:sz w:val="28"/>
        </w:rPr>
        <w:t>七</w:t>
      </w:r>
      <w:r>
        <w:rPr>
          <w:rFonts w:ascii="標楷體" w:eastAsia="標楷體" w:hAnsi="標楷體"/>
          <w:color w:val="FF0000"/>
          <w:sz w:val="28"/>
        </w:rPr>
        <w:t>)</w:t>
      </w:r>
      <w:proofErr w:type="gramStart"/>
      <w:r>
        <w:rPr>
          <w:rFonts w:ascii="標楷體" w:eastAsia="標楷體" w:hAnsi="標楷體"/>
          <w:color w:val="FF0000"/>
          <w:sz w:val="28"/>
        </w:rPr>
        <w:t>鄒</w:t>
      </w:r>
      <w:proofErr w:type="gramEnd"/>
      <w:r>
        <w:rPr>
          <w:rFonts w:ascii="標楷體" w:eastAsia="標楷體" w:hAnsi="標楷體"/>
          <w:color w:val="FF0000"/>
          <w:sz w:val="28"/>
        </w:rPr>
        <w:t>族</w:t>
      </w:r>
      <w:r>
        <w:rPr>
          <w:rFonts w:ascii="標楷體" w:eastAsia="標楷體" w:hAnsi="標楷體"/>
          <w:sz w:val="28"/>
        </w:rPr>
        <w:t>：</w:t>
      </w:r>
      <w:proofErr w:type="gramStart"/>
      <w:r>
        <w:rPr>
          <w:rFonts w:ascii="標楷體" w:eastAsia="標楷體" w:hAnsi="標楷體"/>
          <w:sz w:val="28"/>
        </w:rPr>
        <w:t>鄒</w:t>
      </w:r>
      <w:proofErr w:type="gramEnd"/>
      <w:r>
        <w:rPr>
          <w:rFonts w:ascii="標楷體" w:eastAsia="標楷體" w:hAnsi="標楷體"/>
          <w:sz w:val="28"/>
        </w:rPr>
        <w:t>族居住在臺灣中部中高海拔的阿里山山區，祭典有豐收謝神的小米收穫祭典與彰顯戰功的凱旋祭。他們主要以嘉義縣阿里山鄉為中心，部分在南投縣信義鄉久美村。</w:t>
      </w:r>
    </w:p>
    <w:p w14:paraId="744B9622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88AF6" wp14:editId="2ED7C50D">
                <wp:simplePos x="0" y="0"/>
                <wp:positionH relativeFrom="margin">
                  <wp:posOffset>-152403</wp:posOffset>
                </wp:positionH>
                <wp:positionV relativeFrom="paragraph">
                  <wp:posOffset>5084</wp:posOffset>
                </wp:positionV>
                <wp:extent cx="6362696" cy="8829675"/>
                <wp:effectExtent l="0" t="0" r="19054" b="28575"/>
                <wp:wrapNone/>
                <wp:docPr id="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88296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9B53281" id="矩形 11" o:spid="_x0000_s1026" style="position:absolute;margin-left:-12pt;margin-top:.4pt;width:501pt;height:695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八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賽夏族</w:t>
      </w:r>
      <w:r>
        <w:rPr>
          <w:rFonts w:ascii="標楷體" w:eastAsia="標楷體" w:hAnsi="標楷體"/>
          <w:sz w:val="28"/>
        </w:rPr>
        <w:t>：賽夏族居住於新竹縣與苗栗縣交界的山區，又分為南、北兩大族群。北賽夏居住於新竹縣五峰鄉，南賽夏居住於苗栗縣南庄鄉與獅潭鄉。</w:t>
      </w:r>
    </w:p>
    <w:p w14:paraId="12CB96EE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九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雅美族</w:t>
      </w:r>
      <w:r>
        <w:rPr>
          <w:rFonts w:ascii="標楷體" w:eastAsia="標楷體" w:hAnsi="標楷體"/>
          <w:sz w:val="28"/>
        </w:rPr>
        <w:t>：在臺灣的離島蘭嶼，也可以看到原住民族！雅美族為臺灣唯一的海洋原住民族，主要分佈於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東的蘭嶼島上，有豐富的神話傳說與祭儀，並具有明顯的海洋特質。</w:t>
      </w:r>
    </w:p>
    <w:p w14:paraId="2769F69D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</w:t>
      </w:r>
      <w:r>
        <w:rPr>
          <w:rFonts w:ascii="標楷體" w:eastAsia="標楷體" w:hAnsi="標楷體"/>
          <w:color w:val="FF0000"/>
          <w:sz w:val="28"/>
        </w:rPr>
        <w:t>)</w:t>
      </w:r>
      <w:proofErr w:type="gramStart"/>
      <w:r>
        <w:rPr>
          <w:rFonts w:ascii="標楷體" w:eastAsia="標楷體" w:hAnsi="標楷體"/>
          <w:color w:val="FF0000"/>
          <w:sz w:val="28"/>
        </w:rPr>
        <w:t>邵</w:t>
      </w:r>
      <w:proofErr w:type="gramEnd"/>
      <w:r>
        <w:rPr>
          <w:rFonts w:ascii="標楷體" w:eastAsia="標楷體" w:hAnsi="標楷體"/>
          <w:color w:val="FF0000"/>
          <w:sz w:val="28"/>
        </w:rPr>
        <w:t>族</w:t>
      </w:r>
      <w:r>
        <w:rPr>
          <w:rFonts w:ascii="標楷體" w:eastAsia="標楷體" w:hAnsi="標楷體"/>
          <w:sz w:val="28"/>
        </w:rPr>
        <w:t>：</w:t>
      </w:r>
      <w:proofErr w:type="gramStart"/>
      <w:r>
        <w:rPr>
          <w:rFonts w:ascii="標楷體" w:eastAsia="標楷體" w:hAnsi="標楷體"/>
          <w:sz w:val="28"/>
        </w:rPr>
        <w:t>邵</w:t>
      </w:r>
      <w:proofErr w:type="gramEnd"/>
      <w:r>
        <w:rPr>
          <w:rFonts w:ascii="標楷體" w:eastAsia="標楷體" w:hAnsi="標楷體"/>
          <w:sz w:val="28"/>
        </w:rPr>
        <w:t>族分佈在南投縣魚池鄉及水里鄉，跟</w:t>
      </w:r>
      <w:proofErr w:type="gramStart"/>
      <w:r>
        <w:rPr>
          <w:rFonts w:ascii="標楷體" w:eastAsia="標楷體" w:hAnsi="標楷體"/>
          <w:sz w:val="28"/>
        </w:rPr>
        <w:t>鄒</w:t>
      </w:r>
      <w:proofErr w:type="gramEnd"/>
      <w:r>
        <w:rPr>
          <w:rFonts w:ascii="標楷體" w:eastAsia="標楷體" w:hAnsi="標楷體"/>
          <w:sz w:val="28"/>
        </w:rPr>
        <w:t>族的阿里山鄉不一樣喔！大部</w:t>
      </w:r>
      <w:r>
        <w:rPr>
          <w:rFonts w:ascii="標楷體" w:eastAsia="標楷體" w:hAnsi="標楷體" w:cs="微軟正黑體"/>
          <w:sz w:val="28"/>
        </w:rPr>
        <w:t>分</w:t>
      </w:r>
      <w:proofErr w:type="gramStart"/>
      <w:r>
        <w:rPr>
          <w:rFonts w:ascii="標楷體" w:eastAsia="標楷體" w:hAnsi="標楷體"/>
          <w:sz w:val="28"/>
        </w:rPr>
        <w:t>邵</w:t>
      </w:r>
      <w:proofErr w:type="gramEnd"/>
      <w:r>
        <w:rPr>
          <w:rFonts w:ascii="標楷體" w:eastAsia="標楷體" w:hAnsi="標楷體"/>
          <w:sz w:val="28"/>
        </w:rPr>
        <w:t>族人居住日月潭畔的日月村，少數幾戶則是定居在水里鄉大平林。</w:t>
      </w:r>
      <w:proofErr w:type="gramStart"/>
      <w:r>
        <w:rPr>
          <w:rFonts w:ascii="標楷體" w:eastAsia="標楷體" w:hAnsi="標楷體"/>
          <w:sz w:val="28"/>
        </w:rPr>
        <w:t>邵</w:t>
      </w:r>
      <w:proofErr w:type="gramEnd"/>
      <w:r>
        <w:rPr>
          <w:rFonts w:ascii="標楷體" w:eastAsia="標楷體" w:hAnsi="標楷體"/>
          <w:sz w:val="28"/>
        </w:rPr>
        <w:t>族的傳統祭祀體系主要分為播種祭、狩獵祭及祖靈祭等重要祭儀。</w:t>
      </w:r>
    </w:p>
    <w:p w14:paraId="2726A9D2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十一</w:t>
      </w:r>
      <w:r>
        <w:rPr>
          <w:rFonts w:ascii="標楷體" w:eastAsia="標楷體" w:hAnsi="標楷體"/>
          <w:color w:val="FF0000"/>
          <w:sz w:val="28"/>
        </w:rPr>
        <w:t>)</w:t>
      </w:r>
      <w:proofErr w:type="gramStart"/>
      <w:r>
        <w:rPr>
          <w:rFonts w:ascii="標楷體" w:eastAsia="標楷體" w:hAnsi="標楷體"/>
          <w:color w:val="FF0000"/>
          <w:sz w:val="28"/>
        </w:rPr>
        <w:t>噶瑪</w:t>
      </w:r>
      <w:proofErr w:type="gramEnd"/>
      <w:r>
        <w:rPr>
          <w:rFonts w:ascii="標楷體" w:eastAsia="標楷體" w:hAnsi="標楷體"/>
          <w:color w:val="FF0000"/>
          <w:sz w:val="28"/>
        </w:rPr>
        <w:t>蘭族</w:t>
      </w:r>
      <w:r>
        <w:rPr>
          <w:rFonts w:ascii="標楷體" w:eastAsia="標楷體" w:hAnsi="標楷體"/>
          <w:sz w:val="28"/>
        </w:rPr>
        <w:t>：</w:t>
      </w:r>
      <w:proofErr w:type="gramStart"/>
      <w:r>
        <w:rPr>
          <w:rFonts w:ascii="標楷體" w:eastAsia="標楷體" w:hAnsi="標楷體"/>
          <w:sz w:val="28"/>
        </w:rPr>
        <w:t>噶瑪</w:t>
      </w:r>
      <w:proofErr w:type="gramEnd"/>
      <w:r>
        <w:rPr>
          <w:rFonts w:ascii="標楷體" w:eastAsia="標楷體" w:hAnsi="標楷體"/>
          <w:sz w:val="28"/>
        </w:rPr>
        <w:t>蘭族原本居住在宜蘭蘭陽平原，後來多數移往花東縱谷及海岸線一帶，目前主要分佈在花蓮和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東。工藝方面，</w:t>
      </w:r>
      <w:proofErr w:type="gramStart"/>
      <w:r>
        <w:rPr>
          <w:rFonts w:ascii="標楷體" w:eastAsia="標楷體" w:hAnsi="標楷體"/>
          <w:sz w:val="28"/>
        </w:rPr>
        <w:t>噶瑪</w:t>
      </w:r>
      <w:proofErr w:type="gramEnd"/>
      <w:r>
        <w:rPr>
          <w:rFonts w:ascii="標楷體" w:eastAsia="標楷體" w:hAnsi="標楷體"/>
          <w:sz w:val="28"/>
        </w:rPr>
        <w:t>蘭族目前仍保有編織香蕉絲的技術，非常具有特色。</w:t>
      </w:r>
    </w:p>
    <w:p w14:paraId="114DAD64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十二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太魯閣族</w:t>
      </w:r>
      <w:r>
        <w:rPr>
          <w:rFonts w:ascii="標楷體" w:eastAsia="標楷體" w:hAnsi="標楷體"/>
          <w:sz w:val="28"/>
        </w:rPr>
        <w:t>：太魯閣族分佈北起於花蓮縣和平溪，南到紅葉及太平溪的山麓地帶。太魯閣族人重視織布與紋面文化，信仰祖靈並遵守祖先訓示</w:t>
      </w:r>
      <w:proofErr w:type="spellStart"/>
      <w:r>
        <w:rPr>
          <w:rFonts w:ascii="標楷體" w:eastAsia="標楷體" w:hAnsi="標楷體"/>
          <w:sz w:val="28"/>
        </w:rPr>
        <w:t>gaya</w:t>
      </w:r>
      <w:proofErr w:type="spellEnd"/>
      <w:r>
        <w:rPr>
          <w:rFonts w:ascii="標楷體" w:eastAsia="標楷體" w:hAnsi="標楷體"/>
          <w:sz w:val="28"/>
        </w:rPr>
        <w:t>，祖靈祭為重要祭儀。</w:t>
      </w:r>
    </w:p>
    <w:p w14:paraId="6C018F78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十三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撒奇萊雅族</w:t>
      </w:r>
      <w:r>
        <w:rPr>
          <w:rFonts w:ascii="標楷體" w:eastAsia="標楷體" w:hAnsi="標楷體"/>
          <w:sz w:val="28"/>
        </w:rPr>
        <w:t>：撒奇萊雅族分佈在臺灣</w:t>
      </w:r>
      <w:proofErr w:type="gramStart"/>
      <w:r>
        <w:rPr>
          <w:rFonts w:ascii="標楷體" w:eastAsia="標楷體" w:hAnsi="標楷體"/>
          <w:sz w:val="28"/>
        </w:rPr>
        <w:t>東部，</w:t>
      </w:r>
      <w:proofErr w:type="gramEnd"/>
      <w:r>
        <w:rPr>
          <w:rFonts w:ascii="標楷體" w:eastAsia="標楷體" w:hAnsi="標楷體"/>
          <w:sz w:val="28"/>
        </w:rPr>
        <w:t>稻穀類的農作物成為主要糧食作物，加上採集的野菜、狩獵所獲的獸肉，提供了族人營養來源。以竹木、茅草為主要材料的傳統家屋。近年來，因為整體社會經濟發展的變化</w:t>
      </w:r>
      <w:r>
        <w:rPr>
          <w:rFonts w:ascii="標楷體" w:eastAsia="標楷體" w:hAnsi="標楷體"/>
          <w:sz w:val="28"/>
        </w:rPr>
        <w:t>，也有不少族人遷往花蓮市及大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北都會區。</w:t>
      </w:r>
    </w:p>
    <w:p w14:paraId="12E9ED00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十四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賽德克族</w:t>
      </w:r>
      <w:r>
        <w:rPr>
          <w:rFonts w:ascii="標楷體" w:eastAsia="標楷體" w:hAnsi="標楷體"/>
          <w:sz w:val="28"/>
        </w:rPr>
        <w:t>：你有看過臺灣經典國片賽德克</w:t>
      </w:r>
      <w:r>
        <w:rPr>
          <w:rFonts w:ascii="標楷體" w:eastAsia="標楷體" w:hAnsi="標楷體"/>
          <w:sz w:val="28"/>
        </w:rPr>
        <w:t>·</w:t>
      </w:r>
      <w:r>
        <w:rPr>
          <w:rFonts w:ascii="標楷體" w:eastAsia="標楷體" w:hAnsi="標楷體"/>
          <w:sz w:val="28"/>
        </w:rPr>
        <w:t>巴萊嗎？賽德克族的發源地為</w:t>
      </w:r>
      <w:proofErr w:type="gramStart"/>
      <w:r>
        <w:rPr>
          <w:rFonts w:ascii="標楷體" w:eastAsia="標楷體" w:hAnsi="標楷體"/>
          <w:sz w:val="28"/>
        </w:rPr>
        <w:t>德鹿灣</w:t>
      </w:r>
      <w:proofErr w:type="gramEnd"/>
      <w:r>
        <w:rPr>
          <w:rFonts w:ascii="標楷體" w:eastAsia="標楷體" w:hAnsi="標楷體"/>
          <w:sz w:val="28"/>
        </w:rPr>
        <w:t>，是現今仁愛鄉春陽溫泉一帶，主要以臺灣中部及東部地域為賽德克族的主要活動範圍。賽德克族盛行織布與紋面文化，以祖訓</w:t>
      </w:r>
      <w:proofErr w:type="spellStart"/>
      <w:r>
        <w:rPr>
          <w:rFonts w:ascii="標楷體" w:eastAsia="標楷體" w:hAnsi="標楷體"/>
          <w:sz w:val="28"/>
        </w:rPr>
        <w:t>gaya</w:t>
      </w:r>
      <w:proofErr w:type="spellEnd"/>
      <w:r>
        <w:rPr>
          <w:rFonts w:ascii="標楷體" w:eastAsia="標楷體" w:hAnsi="標楷體"/>
          <w:sz w:val="28"/>
        </w:rPr>
        <w:t>為生活準則，並重視祖靈的祭祀儀式。</w:t>
      </w:r>
    </w:p>
    <w:p w14:paraId="3335DCF6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十五</w:t>
      </w:r>
      <w:r>
        <w:rPr>
          <w:rFonts w:ascii="標楷體" w:eastAsia="標楷體" w:hAnsi="標楷體"/>
          <w:color w:val="FF0000"/>
          <w:sz w:val="28"/>
        </w:rPr>
        <w:t>)</w:t>
      </w:r>
      <w:proofErr w:type="gramStart"/>
      <w:r>
        <w:rPr>
          <w:rFonts w:ascii="標楷體" w:eastAsia="標楷體" w:hAnsi="標楷體"/>
          <w:color w:val="FF0000"/>
          <w:sz w:val="28"/>
        </w:rPr>
        <w:t>拉阿魯哇族</w:t>
      </w:r>
      <w:proofErr w:type="gramEnd"/>
      <w:r>
        <w:rPr>
          <w:rFonts w:ascii="標楷體" w:eastAsia="標楷體" w:hAnsi="標楷體"/>
          <w:sz w:val="28"/>
        </w:rPr>
        <w:t>：你可能對</w:t>
      </w:r>
      <w:proofErr w:type="gramStart"/>
      <w:r>
        <w:rPr>
          <w:rFonts w:ascii="標楷體" w:eastAsia="標楷體" w:hAnsi="標楷體"/>
          <w:sz w:val="28"/>
        </w:rPr>
        <w:t>拉阿魯哇族</w:t>
      </w:r>
      <w:proofErr w:type="gramEnd"/>
      <w:r>
        <w:rPr>
          <w:rFonts w:ascii="標楷體" w:eastAsia="標楷體" w:hAnsi="標楷體"/>
          <w:sz w:val="28"/>
        </w:rPr>
        <w:t>比較陌生吧！他們主要居住在高雄市桃源區以及那瑪夏區。</w:t>
      </w:r>
      <w:proofErr w:type="gramStart"/>
      <w:r>
        <w:rPr>
          <w:rFonts w:ascii="標楷體" w:eastAsia="標楷體" w:hAnsi="標楷體"/>
          <w:sz w:val="28"/>
        </w:rPr>
        <w:t>拉阿魯哇族</w:t>
      </w:r>
      <w:proofErr w:type="gramEnd"/>
      <w:r>
        <w:rPr>
          <w:rFonts w:ascii="標楷體" w:eastAsia="標楷體" w:hAnsi="標楷體"/>
          <w:sz w:val="28"/>
        </w:rPr>
        <w:t>相當注重農耕祭儀，</w:t>
      </w:r>
      <w:proofErr w:type="gramStart"/>
      <w:r>
        <w:rPr>
          <w:rFonts w:ascii="標楷體" w:eastAsia="標楷體" w:hAnsi="標楷體"/>
          <w:sz w:val="28"/>
        </w:rPr>
        <w:t>聖貝祭</w:t>
      </w:r>
      <w:proofErr w:type="gramEnd"/>
      <w:r>
        <w:rPr>
          <w:rFonts w:ascii="標楷體" w:eastAsia="標楷體" w:hAnsi="標楷體"/>
          <w:sz w:val="28"/>
        </w:rPr>
        <w:t>就是農耕祭儀中，</w:t>
      </w:r>
      <w:proofErr w:type="gramStart"/>
      <w:r>
        <w:rPr>
          <w:rFonts w:ascii="標楷體" w:eastAsia="標楷體" w:hAnsi="標楷體"/>
          <w:sz w:val="28"/>
        </w:rPr>
        <w:t>祭祀貝神而</w:t>
      </w:r>
      <w:proofErr w:type="gramEnd"/>
      <w:r>
        <w:rPr>
          <w:rFonts w:ascii="標楷體" w:eastAsia="標楷體" w:hAnsi="標楷體"/>
          <w:sz w:val="28"/>
        </w:rPr>
        <w:t>衍生出的祭典，</w:t>
      </w:r>
      <w:proofErr w:type="gramStart"/>
      <w:r>
        <w:rPr>
          <w:rFonts w:ascii="標楷體" w:eastAsia="標楷體" w:hAnsi="標楷體"/>
          <w:sz w:val="28"/>
        </w:rPr>
        <w:t>貝神也是拉阿魯哇族</w:t>
      </w:r>
      <w:proofErr w:type="gramEnd"/>
      <w:r>
        <w:rPr>
          <w:rFonts w:ascii="標楷體" w:eastAsia="標楷體" w:hAnsi="標楷體"/>
          <w:sz w:val="28"/>
        </w:rPr>
        <w:t>主要的圖騰象徵。下次到高雄的時候，可以留意一下</w:t>
      </w:r>
      <w:proofErr w:type="gramStart"/>
      <w:r>
        <w:rPr>
          <w:rFonts w:ascii="標楷體" w:eastAsia="標楷體" w:hAnsi="標楷體"/>
          <w:sz w:val="28"/>
        </w:rPr>
        <w:t>拉阿魯哇</w:t>
      </w:r>
      <w:r>
        <w:rPr>
          <w:rFonts w:ascii="標楷體" w:eastAsia="標楷體" w:hAnsi="標楷體"/>
          <w:sz w:val="28"/>
        </w:rPr>
        <w:t>族</w:t>
      </w:r>
      <w:proofErr w:type="gramEnd"/>
      <w:r>
        <w:rPr>
          <w:rFonts w:ascii="標楷體" w:eastAsia="標楷體" w:hAnsi="標楷體"/>
          <w:sz w:val="28"/>
        </w:rPr>
        <w:t>的身影喔！</w:t>
      </w:r>
    </w:p>
    <w:p w14:paraId="346A998B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</w:rPr>
        <w:t>(</w:t>
      </w:r>
      <w:r>
        <w:rPr>
          <w:rFonts w:ascii="標楷體" w:eastAsia="標楷體" w:hAnsi="標楷體"/>
          <w:color w:val="FF0000"/>
          <w:sz w:val="28"/>
        </w:rPr>
        <w:t>十六</w:t>
      </w:r>
      <w:r>
        <w:rPr>
          <w:rFonts w:ascii="標楷體" w:eastAsia="標楷體" w:hAnsi="標楷體"/>
          <w:color w:val="FF0000"/>
          <w:sz w:val="28"/>
        </w:rPr>
        <w:t>)</w:t>
      </w:r>
      <w:r>
        <w:rPr>
          <w:rFonts w:ascii="標楷體" w:eastAsia="標楷體" w:hAnsi="標楷體"/>
          <w:color w:val="FF0000"/>
          <w:sz w:val="28"/>
        </w:rPr>
        <w:t>卡那卡那富族</w:t>
      </w:r>
      <w:r>
        <w:rPr>
          <w:rFonts w:ascii="標楷體" w:eastAsia="標楷體" w:hAnsi="標楷體"/>
          <w:sz w:val="28"/>
        </w:rPr>
        <w:t>：卡那卡那富</w:t>
      </w:r>
      <w:proofErr w:type="gramStart"/>
      <w:r>
        <w:rPr>
          <w:rFonts w:ascii="標楷體" w:eastAsia="標楷體" w:hAnsi="標楷體"/>
          <w:sz w:val="28"/>
        </w:rPr>
        <w:t>族跟拉阿魯哇族</w:t>
      </w:r>
      <w:proofErr w:type="gramEnd"/>
      <w:r>
        <w:rPr>
          <w:rFonts w:ascii="標楷體" w:eastAsia="標楷體" w:hAnsi="標楷體"/>
          <w:sz w:val="28"/>
        </w:rPr>
        <w:t>一樣分佈在高雄，他們居住在高雄市那瑪夏區。卡那卡那富族傳統的經濟生活以</w:t>
      </w:r>
      <w:proofErr w:type="gramStart"/>
      <w:r>
        <w:rPr>
          <w:rFonts w:ascii="標楷體" w:eastAsia="標楷體" w:hAnsi="標楷體"/>
          <w:sz w:val="28"/>
        </w:rPr>
        <w:t>農耕燒墾為主</w:t>
      </w:r>
      <w:proofErr w:type="gramEnd"/>
      <w:r>
        <w:rPr>
          <w:rFonts w:ascii="標楷體" w:eastAsia="標楷體" w:hAnsi="標楷體"/>
          <w:sz w:val="28"/>
        </w:rPr>
        <w:t>，狩獵捕魚為輔，狩獵上以男性擔任為主，狩獵期間約於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月至隔年</w:t>
      </w:r>
      <w:r>
        <w:rPr>
          <w:rFonts w:ascii="標楷體" w:eastAsia="標楷體" w:hAnsi="標楷體"/>
          <w:sz w:val="28"/>
        </w:rPr>
        <w:t xml:space="preserve">4 </w:t>
      </w:r>
      <w:r>
        <w:rPr>
          <w:rFonts w:ascii="標楷體" w:eastAsia="標楷體" w:hAnsi="標楷體"/>
          <w:sz w:val="28"/>
        </w:rPr>
        <w:t>月，約為農閒</w:t>
      </w:r>
      <w:proofErr w:type="gramStart"/>
      <w:r>
        <w:rPr>
          <w:rFonts w:ascii="標楷體" w:eastAsia="標楷體" w:hAnsi="標楷體"/>
          <w:sz w:val="28"/>
        </w:rPr>
        <w:t>期間，</w:t>
      </w:r>
      <w:proofErr w:type="gramEnd"/>
      <w:r>
        <w:rPr>
          <w:rFonts w:ascii="標楷體" w:eastAsia="標楷體" w:hAnsi="標楷體"/>
          <w:sz w:val="28"/>
        </w:rPr>
        <w:t>可分個人與團體。個人的狩獵目的為家庭食物覓尋；團體則大部分為祭儀所需。</w:t>
      </w:r>
    </w:p>
    <w:p w14:paraId="78912A9B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741C7697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b/>
          <w:color w:val="002060"/>
          <w:sz w:val="28"/>
        </w:rPr>
      </w:pPr>
      <w:r>
        <w:rPr>
          <w:rFonts w:ascii="標楷體" w:eastAsia="標楷體" w:hAnsi="標楷體"/>
          <w:b/>
          <w:color w:val="002060"/>
          <w:sz w:val="28"/>
        </w:rPr>
        <w:lastRenderedPageBreak/>
        <w:t>◎</w:t>
      </w:r>
      <w:r>
        <w:rPr>
          <w:rFonts w:ascii="標楷體" w:eastAsia="標楷體" w:hAnsi="標楷體"/>
          <w:b/>
          <w:color w:val="002060"/>
          <w:sz w:val="28"/>
        </w:rPr>
        <w:t>資料來源：</w:t>
      </w:r>
    </w:p>
    <w:p w14:paraId="02FE697C" w14:textId="77777777" w:rsidR="005B7783" w:rsidRDefault="0050500F">
      <w:pPr>
        <w:spacing w:line="320" w:lineRule="exact"/>
      </w:pPr>
      <w:r>
        <w:rPr>
          <w:rFonts w:ascii="標楷體" w:eastAsia="標楷體" w:hAnsi="標楷體"/>
          <w:sz w:val="22"/>
          <w:szCs w:val="20"/>
        </w:rPr>
        <w:t>1.</w:t>
      </w:r>
      <w:r>
        <w:rPr>
          <w:rFonts w:ascii="標楷體" w:eastAsia="標楷體" w:hAnsi="標楷體"/>
          <w:sz w:val="28"/>
        </w:rPr>
        <w:t>原住民族委員會</w:t>
      </w:r>
      <w:hyperlink r:id="rId7" w:history="1">
        <w:r>
          <w:rPr>
            <w:rStyle w:val="a4"/>
            <w:rFonts w:ascii="標楷體" w:eastAsia="標楷體" w:hAnsi="標楷體"/>
            <w:sz w:val="18"/>
            <w:szCs w:val="20"/>
          </w:rPr>
          <w:t>https://www.cip.gov.tw/zh-tw/tribe/grid-list/index.html?cumid=8F19BF08AE220D65</w:t>
        </w:r>
      </w:hyperlink>
    </w:p>
    <w:p w14:paraId="75215970" w14:textId="77777777" w:rsidR="005B7783" w:rsidRDefault="0050500F">
      <w:pPr>
        <w:spacing w:line="320" w:lineRule="exact"/>
      </w:pPr>
      <w:r>
        <w:rPr>
          <w:rFonts w:ascii="標楷體" w:eastAsia="標楷體" w:hAnsi="標楷體"/>
          <w:sz w:val="22"/>
          <w:szCs w:val="20"/>
        </w:rPr>
        <w:t>2.</w:t>
      </w:r>
      <w:r>
        <w:rPr>
          <w:rFonts w:ascii="標楷體" w:eastAsia="標楷體" w:hAnsi="標楷體"/>
          <w:sz w:val="28"/>
        </w:rPr>
        <w:t>原住民學生中心</w:t>
      </w:r>
      <w:hyperlink r:id="rId8" w:history="1">
        <w:r>
          <w:rPr>
            <w:rStyle w:val="a4"/>
            <w:rFonts w:ascii="標楷體" w:eastAsia="標楷體" w:hAnsi="標楷體"/>
          </w:rPr>
          <w:t>http://isrc.jente.edu.tw/index.php/2014-02-10-07-04-36</w:t>
        </w:r>
      </w:hyperlink>
      <w:r>
        <w:rPr>
          <w:rFonts w:ascii="標楷體" w:eastAsia="標楷體" w:hAnsi="標楷體"/>
        </w:rPr>
        <w:t xml:space="preserve"> </w:t>
      </w:r>
    </w:p>
    <w:p w14:paraId="1B712204" w14:textId="77777777" w:rsidR="005B7783" w:rsidRDefault="005B7783">
      <w:pPr>
        <w:spacing w:line="320" w:lineRule="exact"/>
        <w:rPr>
          <w:rFonts w:ascii="標楷體" w:eastAsia="標楷體" w:hAnsi="標楷體"/>
          <w:sz w:val="20"/>
          <w:szCs w:val="20"/>
        </w:rPr>
      </w:pPr>
    </w:p>
    <w:p w14:paraId="5E32B577" w14:textId="77777777" w:rsidR="005B7783" w:rsidRDefault="0050500F">
      <w:pPr>
        <w:spacing w:line="320" w:lineRule="exact"/>
        <w:jc w:val="both"/>
      </w:pPr>
      <w:r>
        <w:rPr>
          <w:rFonts w:ascii="標楷體" w:eastAsia="標楷體" w:hAnsi="標楷體" w:cs="Arial"/>
          <w:noProof/>
          <w:color w:val="111111"/>
          <w:spacing w:val="18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26AF5AB7" wp14:editId="3037F3E6">
            <wp:simplePos x="0" y="0"/>
            <wp:positionH relativeFrom="margin">
              <wp:align>center</wp:align>
            </wp:positionH>
            <wp:positionV relativeFrom="paragraph">
              <wp:posOffset>38103</wp:posOffset>
            </wp:positionV>
            <wp:extent cx="5196836" cy="3953307"/>
            <wp:effectExtent l="0" t="0" r="3814" b="9093"/>
            <wp:wrapNone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836" cy="3953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A68710B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73C59287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7D933595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137B8EBE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061FBB03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0A56071C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215B664F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4A70B3D3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60AF784C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46A6E2DC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0B59F74E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15711599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2E565325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40C06DA3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313ACCB9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37CCAC20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41F41613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4BFFB78F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2C31CEEE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p w14:paraId="0DDC3C1B" w14:textId="77777777" w:rsidR="005B7783" w:rsidRDefault="005B7783">
      <w:pPr>
        <w:jc w:val="both"/>
        <w:rPr>
          <w:rFonts w:ascii="標楷體" w:eastAsia="標楷體" w:hAnsi="標楷體" w:cs="Arial"/>
          <w:color w:val="111111"/>
          <w:spacing w:val="18"/>
          <w:shd w:val="clear" w:color="auto" w:fill="FFFFFF"/>
        </w:rPr>
      </w:pPr>
    </w:p>
    <w:p w14:paraId="54FAA1C3" w14:textId="77777777" w:rsidR="005B7783" w:rsidRDefault="0050500F">
      <w:pPr>
        <w:spacing w:line="320" w:lineRule="exact"/>
        <w:jc w:val="center"/>
      </w:pPr>
      <w:r>
        <w:rPr>
          <w:rFonts w:ascii="標楷體" w:eastAsia="標楷體" w:hAnsi="標楷體"/>
          <w:sz w:val="28"/>
        </w:rPr>
        <w:t>現今台灣原住民分布圖擷取</w:t>
      </w:r>
      <w:proofErr w:type="gramStart"/>
      <w:r>
        <w:rPr>
          <w:rFonts w:ascii="標楷體" w:eastAsia="標楷體" w:hAnsi="標楷體"/>
          <w:sz w:val="28"/>
        </w:rPr>
        <w:t>自</w:t>
      </w:r>
      <w:proofErr w:type="gramEnd"/>
      <w:r>
        <w:rPr>
          <w:rFonts w:ascii="標楷體" w:eastAsia="標楷體" w:hAnsi="標楷體"/>
          <w:sz w:val="28"/>
        </w:rPr>
        <w:t>：</w:t>
      </w:r>
      <w:hyperlink r:id="rId10" w:history="1">
        <w:r>
          <w:rPr>
            <w:rFonts w:ascii="標楷體" w:eastAsia="標楷體" w:hAnsi="標楷體"/>
            <w:sz w:val="28"/>
          </w:rPr>
          <w:t>臺灣語言研究</w:t>
        </w:r>
      </w:hyperlink>
      <w:hyperlink r:id="rId11" w:history="1">
        <w:r>
          <w:rPr>
            <w:rStyle w:val="a4"/>
            <w:rFonts w:ascii="標楷體" w:eastAsia="標楷體" w:hAnsi="標楷體"/>
            <w:sz w:val="28"/>
          </w:rPr>
          <w:t>https://express.adobe.com/page/7z6zJGywlb0Wq/</w:t>
        </w:r>
      </w:hyperlink>
    </w:p>
    <w:p w14:paraId="2E1C9A65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1A5BE564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527BF8DB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7906C6FE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140CEB86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4EB420DC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6F5D8610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71ED1476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2F36EE6D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6965934D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78D0EAA7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01C70846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4B9525CB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33D7B7B6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75AF9F39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6D7C534D" w14:textId="77777777" w:rsidR="005B7783" w:rsidRDefault="005B7783">
      <w:pPr>
        <w:spacing w:line="400" w:lineRule="exact"/>
        <w:jc w:val="both"/>
        <w:rPr>
          <w:rFonts w:ascii="標楷體" w:eastAsia="標楷體" w:hAnsi="標楷體"/>
        </w:rPr>
      </w:pPr>
    </w:p>
    <w:p w14:paraId="5594AC14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、臺灣原住民大約可分為幾個族群？</w:t>
      </w:r>
    </w:p>
    <w:p w14:paraId="439A65E4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(a) 6</w:t>
      </w:r>
      <w:r>
        <w:rPr>
          <w:rFonts w:ascii="標楷體" w:eastAsia="標楷體" w:hAnsi="標楷體"/>
          <w:sz w:val="28"/>
        </w:rPr>
        <w:t>個</w:t>
      </w:r>
      <w:r>
        <w:rPr>
          <w:rFonts w:ascii="標楷體" w:eastAsia="標楷體" w:hAnsi="標楷體"/>
          <w:sz w:val="28"/>
        </w:rPr>
        <w:t xml:space="preserve"> </w:t>
      </w:r>
    </w:p>
    <w:p w14:paraId="1543A184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(b) 16</w:t>
      </w:r>
      <w:r>
        <w:rPr>
          <w:rFonts w:ascii="標楷體" w:eastAsia="標楷體" w:hAnsi="標楷體"/>
          <w:sz w:val="28"/>
        </w:rPr>
        <w:t>個</w:t>
      </w:r>
      <w:r>
        <w:rPr>
          <w:rFonts w:ascii="標楷體" w:eastAsia="標楷體" w:hAnsi="標楷體"/>
          <w:sz w:val="28"/>
        </w:rPr>
        <w:t xml:space="preserve"> </w:t>
      </w:r>
    </w:p>
    <w:p w14:paraId="5E97F594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(c) 26</w:t>
      </w:r>
      <w:r>
        <w:rPr>
          <w:rFonts w:ascii="標楷體" w:eastAsia="標楷體" w:hAnsi="標楷體"/>
          <w:sz w:val="28"/>
        </w:rPr>
        <w:t>個</w:t>
      </w:r>
      <w:r>
        <w:rPr>
          <w:rFonts w:ascii="標楷體" w:eastAsia="標楷體" w:hAnsi="標楷體"/>
          <w:sz w:val="28"/>
        </w:rPr>
        <w:t xml:space="preserve"> </w:t>
      </w:r>
    </w:p>
    <w:p w14:paraId="06B52A8D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(d) </w:t>
      </w:r>
      <w:r>
        <w:rPr>
          <w:rFonts w:ascii="標楷體" w:eastAsia="標楷體" w:hAnsi="標楷體"/>
          <w:sz w:val="28"/>
        </w:rPr>
        <w:t>36</w:t>
      </w:r>
      <w:r>
        <w:rPr>
          <w:rFonts w:ascii="標楷體" w:eastAsia="標楷體" w:hAnsi="標楷體"/>
          <w:sz w:val="28"/>
        </w:rPr>
        <w:t>個</w:t>
      </w:r>
    </w:p>
    <w:p w14:paraId="6F2E1965" w14:textId="77777777" w:rsidR="005B7783" w:rsidRDefault="005B7783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</w:p>
    <w:p w14:paraId="56911E0B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、哪一個臺灣原住民族是唯一的離島海洋原住民族？</w:t>
      </w:r>
    </w:p>
    <w:p w14:paraId="183A6AA2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(a) </w:t>
      </w:r>
      <w:r>
        <w:rPr>
          <w:rFonts w:ascii="標楷體" w:eastAsia="標楷體" w:hAnsi="標楷體"/>
          <w:sz w:val="28"/>
        </w:rPr>
        <w:t>太魯閣族</w:t>
      </w:r>
      <w:r>
        <w:rPr>
          <w:rFonts w:ascii="標楷體" w:eastAsia="標楷體" w:hAnsi="標楷體"/>
          <w:sz w:val="28"/>
        </w:rPr>
        <w:t xml:space="preserve"> </w:t>
      </w:r>
    </w:p>
    <w:p w14:paraId="14198C24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(b) </w:t>
      </w:r>
      <w:r>
        <w:rPr>
          <w:rFonts w:ascii="標楷體" w:eastAsia="標楷體" w:hAnsi="標楷體"/>
          <w:sz w:val="28"/>
        </w:rPr>
        <w:t>魯凱族</w:t>
      </w:r>
      <w:r>
        <w:rPr>
          <w:rFonts w:ascii="標楷體" w:eastAsia="標楷體" w:hAnsi="標楷體"/>
          <w:sz w:val="28"/>
        </w:rPr>
        <w:t xml:space="preserve"> </w:t>
      </w:r>
    </w:p>
    <w:p w14:paraId="3321F8E7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(c) </w:t>
      </w:r>
      <w:r>
        <w:rPr>
          <w:rFonts w:ascii="標楷體" w:eastAsia="標楷體" w:hAnsi="標楷體"/>
          <w:sz w:val="28"/>
        </w:rPr>
        <w:t>泰雅族</w:t>
      </w:r>
      <w:r>
        <w:rPr>
          <w:rFonts w:ascii="標楷體" w:eastAsia="標楷體" w:hAnsi="標楷體"/>
          <w:sz w:val="28"/>
        </w:rPr>
        <w:t xml:space="preserve"> </w:t>
      </w:r>
    </w:p>
    <w:p w14:paraId="395675C2" w14:textId="77777777" w:rsidR="005B7783" w:rsidRDefault="0050500F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(d) </w:t>
      </w:r>
      <w:r>
        <w:rPr>
          <w:rFonts w:ascii="標楷體" w:eastAsia="標楷體" w:hAnsi="標楷體"/>
          <w:sz w:val="28"/>
        </w:rPr>
        <w:t>雅美族</w:t>
      </w:r>
    </w:p>
    <w:p w14:paraId="44F06406" w14:textId="77777777" w:rsidR="005B7783" w:rsidRDefault="005B7783">
      <w:pPr>
        <w:pStyle w:val="a6"/>
        <w:spacing w:line="400" w:lineRule="exact"/>
        <w:ind w:left="360"/>
        <w:jc w:val="both"/>
        <w:rPr>
          <w:rFonts w:ascii="標楷體" w:eastAsia="標楷體" w:hAnsi="標楷體"/>
          <w:sz w:val="28"/>
        </w:rPr>
      </w:pPr>
    </w:p>
    <w:p w14:paraId="553A1E22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、以下哪兩</w:t>
      </w:r>
      <w:proofErr w:type="gramStart"/>
      <w:r>
        <w:rPr>
          <w:rFonts w:ascii="標楷體" w:eastAsia="標楷體" w:hAnsi="標楷體"/>
          <w:sz w:val="28"/>
        </w:rPr>
        <w:t>個</w:t>
      </w:r>
      <w:proofErr w:type="gramEnd"/>
      <w:r>
        <w:rPr>
          <w:rFonts w:ascii="標楷體" w:eastAsia="標楷體" w:hAnsi="標楷體"/>
          <w:sz w:val="28"/>
        </w:rPr>
        <w:t>臺灣原住民族分佈靠近臺灣的東部？</w:t>
      </w:r>
    </w:p>
    <w:p w14:paraId="31A2E408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(a) </w:t>
      </w:r>
      <w:r>
        <w:rPr>
          <w:rFonts w:ascii="標楷體" w:eastAsia="標楷體" w:hAnsi="標楷體"/>
          <w:sz w:val="28"/>
        </w:rPr>
        <w:t>阿美族</w:t>
      </w:r>
      <w:r>
        <w:rPr>
          <w:rFonts w:ascii="標楷體" w:eastAsia="標楷體" w:hAnsi="標楷體"/>
          <w:sz w:val="28"/>
        </w:rPr>
        <w:t xml:space="preserve"> </w:t>
      </w:r>
    </w:p>
    <w:p w14:paraId="5112CD0A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(b) </w:t>
      </w:r>
      <w:proofErr w:type="gramStart"/>
      <w:r>
        <w:rPr>
          <w:rFonts w:ascii="標楷體" w:eastAsia="標楷體" w:hAnsi="標楷體"/>
          <w:sz w:val="28"/>
        </w:rPr>
        <w:t>鄒</w:t>
      </w:r>
      <w:proofErr w:type="gramEnd"/>
      <w:r>
        <w:rPr>
          <w:rFonts w:ascii="標楷體" w:eastAsia="標楷體" w:hAnsi="標楷體"/>
          <w:sz w:val="28"/>
        </w:rPr>
        <w:t>族</w:t>
      </w:r>
      <w:r>
        <w:rPr>
          <w:rFonts w:ascii="標楷體" w:eastAsia="標楷體" w:hAnsi="標楷體"/>
          <w:sz w:val="28"/>
        </w:rPr>
        <w:t xml:space="preserve"> </w:t>
      </w:r>
    </w:p>
    <w:p w14:paraId="5950D312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(c)</w:t>
      </w:r>
      <w:r>
        <w:rPr>
          <w:rFonts w:ascii="標楷體" w:eastAsia="標楷體" w:hAnsi="標楷體"/>
          <w:sz w:val="28"/>
        </w:rPr>
        <w:t>卑南族</w:t>
      </w:r>
      <w:r>
        <w:rPr>
          <w:rFonts w:ascii="標楷體" w:eastAsia="標楷體" w:hAnsi="標楷體"/>
          <w:sz w:val="28"/>
        </w:rPr>
        <w:t xml:space="preserve"> </w:t>
      </w:r>
    </w:p>
    <w:p w14:paraId="0CBE3C99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(d) </w:t>
      </w:r>
      <w:r>
        <w:rPr>
          <w:rFonts w:ascii="標楷體" w:eastAsia="標楷體" w:hAnsi="標楷體"/>
          <w:sz w:val="28"/>
        </w:rPr>
        <w:t>賽夏族</w:t>
      </w:r>
    </w:p>
    <w:p w14:paraId="79277200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794D6195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、以下哪一種農作物與臺灣原住民的祭典有關？</w:t>
      </w:r>
    </w:p>
    <w:p w14:paraId="28A58D70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(a) </w:t>
      </w:r>
      <w:r>
        <w:rPr>
          <w:rFonts w:ascii="標楷體" w:eastAsia="標楷體" w:hAnsi="標楷體"/>
          <w:sz w:val="28"/>
        </w:rPr>
        <w:t>西瓜</w:t>
      </w:r>
      <w:r>
        <w:rPr>
          <w:rFonts w:ascii="標楷體" w:eastAsia="標楷體" w:hAnsi="標楷體"/>
          <w:sz w:val="28"/>
        </w:rPr>
        <w:t xml:space="preserve"> </w:t>
      </w:r>
    </w:p>
    <w:p w14:paraId="722FC259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(b) </w:t>
      </w:r>
      <w:r>
        <w:rPr>
          <w:rFonts w:ascii="標楷體" w:eastAsia="標楷體" w:hAnsi="標楷體"/>
          <w:sz w:val="28"/>
        </w:rPr>
        <w:t>地瓜</w:t>
      </w:r>
      <w:r>
        <w:rPr>
          <w:rFonts w:ascii="標楷體" w:eastAsia="標楷體" w:hAnsi="標楷體"/>
          <w:sz w:val="28"/>
        </w:rPr>
        <w:t xml:space="preserve"> </w:t>
      </w:r>
    </w:p>
    <w:p w14:paraId="2D3FC72B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(c) </w:t>
      </w:r>
      <w:r>
        <w:rPr>
          <w:rFonts w:ascii="標楷體" w:eastAsia="標楷體" w:hAnsi="標楷體"/>
          <w:sz w:val="28"/>
        </w:rPr>
        <w:t>小米</w:t>
      </w:r>
      <w:r>
        <w:rPr>
          <w:rFonts w:ascii="標楷體" w:eastAsia="標楷體" w:hAnsi="標楷體"/>
          <w:sz w:val="28"/>
        </w:rPr>
        <w:t xml:space="preserve"> </w:t>
      </w:r>
    </w:p>
    <w:p w14:paraId="02C899C3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(d) </w:t>
      </w:r>
      <w:r>
        <w:rPr>
          <w:rFonts w:ascii="標楷體" w:eastAsia="標楷體" w:hAnsi="標楷體"/>
          <w:sz w:val="28"/>
        </w:rPr>
        <w:t>甘蔗</w:t>
      </w:r>
    </w:p>
    <w:p w14:paraId="64BF78D9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08C00B7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、以下哪一個臺灣原住民沒有紋面文化？</w:t>
      </w:r>
    </w:p>
    <w:p w14:paraId="36043BD5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(a) </w:t>
      </w:r>
      <w:r>
        <w:rPr>
          <w:rFonts w:ascii="標楷體" w:eastAsia="標楷體" w:hAnsi="標楷體"/>
          <w:sz w:val="28"/>
        </w:rPr>
        <w:t>泰雅族</w:t>
      </w:r>
      <w:r>
        <w:rPr>
          <w:rFonts w:ascii="標楷體" w:eastAsia="標楷體" w:hAnsi="標楷體"/>
          <w:sz w:val="28"/>
        </w:rPr>
        <w:t xml:space="preserve"> </w:t>
      </w:r>
    </w:p>
    <w:p w14:paraId="5B781B91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(b) </w:t>
      </w:r>
      <w:r>
        <w:rPr>
          <w:rFonts w:ascii="標楷體" w:eastAsia="標楷體" w:hAnsi="標楷體"/>
          <w:sz w:val="28"/>
        </w:rPr>
        <w:t>太魯閣族</w:t>
      </w:r>
      <w:r>
        <w:rPr>
          <w:rFonts w:ascii="標楷體" w:eastAsia="標楷體" w:hAnsi="標楷體"/>
          <w:sz w:val="28"/>
        </w:rPr>
        <w:t xml:space="preserve"> </w:t>
      </w:r>
    </w:p>
    <w:p w14:paraId="29C66491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(c) </w:t>
      </w:r>
      <w:r>
        <w:rPr>
          <w:rFonts w:ascii="標楷體" w:eastAsia="標楷體" w:hAnsi="標楷體"/>
          <w:sz w:val="28"/>
        </w:rPr>
        <w:t>雅美族</w:t>
      </w:r>
      <w:r>
        <w:rPr>
          <w:rFonts w:ascii="標楷體" w:eastAsia="標楷體" w:hAnsi="標楷體"/>
          <w:sz w:val="28"/>
        </w:rPr>
        <w:t xml:space="preserve"> </w:t>
      </w:r>
    </w:p>
    <w:p w14:paraId="3B0CCED1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 xml:space="preserve">(d) </w:t>
      </w:r>
      <w:r>
        <w:rPr>
          <w:rFonts w:ascii="標楷體" w:eastAsia="標楷體" w:hAnsi="標楷體"/>
          <w:sz w:val="28"/>
        </w:rPr>
        <w:t>賽德克族</w:t>
      </w:r>
    </w:p>
    <w:p w14:paraId="7566EDFB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08C4B005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6</w:t>
      </w:r>
      <w:r>
        <w:rPr>
          <w:rFonts w:ascii="標楷體" w:eastAsia="標楷體" w:hAnsi="標楷體"/>
          <w:sz w:val="28"/>
        </w:rPr>
        <w:t>、寫出三個你想了解的臺灣原住民族，並試著說明原因。</w:t>
      </w:r>
    </w:p>
    <w:p w14:paraId="7CA170C7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答</w:t>
      </w:r>
      <w:r>
        <w:rPr>
          <w:rFonts w:ascii="標楷體" w:eastAsia="標楷體" w:hAnsi="標楷體"/>
          <w:sz w:val="28"/>
          <w:szCs w:val="26"/>
        </w:rPr>
        <w:t>:________________________________________________</w:t>
      </w:r>
    </w:p>
    <w:p w14:paraId="58706EA3" w14:textId="77777777" w:rsidR="005B7783" w:rsidRDefault="0050500F">
      <w:pPr>
        <w:pageBreakBefore/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lastRenderedPageBreak/>
        <w:t>&lt;</w:t>
      </w:r>
      <w:r>
        <w:rPr>
          <w:rFonts w:ascii="標楷體" w:eastAsia="標楷體" w:hAnsi="標楷體"/>
          <w:b/>
          <w:sz w:val="28"/>
        </w:rPr>
        <w:t>進階題</w:t>
      </w:r>
      <w:r>
        <w:rPr>
          <w:rFonts w:ascii="標楷體" w:eastAsia="標楷體" w:hAnsi="標楷體"/>
          <w:b/>
          <w:sz w:val="28"/>
        </w:rPr>
        <w:t>&gt;</w:t>
      </w:r>
    </w:p>
    <w:p w14:paraId="6C51563A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請閱讀以下文章，回答相關問題</w:t>
      </w:r>
      <w:r>
        <w:rPr>
          <w:rFonts w:ascii="標楷體" w:eastAsia="標楷體" w:hAnsi="標楷體"/>
          <w:sz w:val="28"/>
        </w:rPr>
        <w:t xml:space="preserve"> :</w:t>
      </w:r>
    </w:p>
    <w:p w14:paraId="0765E84F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49B17" wp14:editId="790EA7B4">
                <wp:simplePos x="0" y="0"/>
                <wp:positionH relativeFrom="margin">
                  <wp:posOffset>-129543</wp:posOffset>
                </wp:positionH>
                <wp:positionV relativeFrom="paragraph">
                  <wp:posOffset>162562</wp:posOffset>
                </wp:positionV>
                <wp:extent cx="6362696" cy="8067678"/>
                <wp:effectExtent l="0" t="0" r="19054" b="28572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8067678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EBF3227" id="矩形 11" o:spid="_x0000_s1026" style="position:absolute;margin-left:-10.2pt;margin-top:12.8pt;width:501pt;height:635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</w:p>
    <w:p w14:paraId="6B8DCE47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t>原住民的語言和文化</w:t>
      </w:r>
    </w:p>
    <w:p w14:paraId="3A2F60BF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原住民有數十種不同的語言，這些語言屬於南島語系。語言是文化的重要組成部分，透過語言，原住民得以傳承他們的故事、傳說和智慧。每</w:t>
      </w:r>
      <w:proofErr w:type="gramStart"/>
      <w:r>
        <w:rPr>
          <w:rFonts w:ascii="標楷體" w:eastAsia="標楷體" w:hAnsi="標楷體"/>
          <w:sz w:val="28"/>
        </w:rPr>
        <w:t>個</w:t>
      </w:r>
      <w:proofErr w:type="gramEnd"/>
      <w:r>
        <w:rPr>
          <w:rFonts w:ascii="標楷體" w:eastAsia="標楷體" w:hAnsi="標楷體"/>
          <w:sz w:val="28"/>
        </w:rPr>
        <w:t>族群的語言都有其獨特的音韻和詞彙，這反映了他們的生活環境和歷史背景。</w:t>
      </w:r>
    </w:p>
    <w:p w14:paraId="469F490B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除了語言，原住民的文化中還包含許多獨特的藝術和手工藝。</w:t>
      </w:r>
      <w:r>
        <w:rPr>
          <w:rFonts w:ascii="標楷體" w:eastAsia="標楷體" w:hAnsi="標楷體"/>
          <w:sz w:val="28"/>
        </w:rPr>
        <w:t>例如，阿美族的編織技藝和泰雅族的刺繡作品，都展現了他們的創造力和美感。原住民的音樂和舞蹈也非常有特色，常常用來慶祝重要的節慶或者傳達情感，讓人感受到他們對自然和生命的敬畏。</w:t>
      </w:r>
    </w:p>
    <w:p w14:paraId="67C1F3AD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16AE1508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t>原住民傳統的生活方式</w:t>
      </w:r>
    </w:p>
    <w:p w14:paraId="2F699DF0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臺灣原住民的生活方式與自然環境密切相關。他們多數居住在山區和偏遠地區，靠狩獵、採集和農耕維生。傳統上，原住民會選擇在山腳或河邊搭建住所，使用當地的天然材料來建造自己的家，這些房屋通常都是依據自然環境而建造的，具有很好的通風</w:t>
      </w:r>
      <w:proofErr w:type="gramStart"/>
      <w:r>
        <w:rPr>
          <w:rFonts w:ascii="標楷體" w:eastAsia="標楷體" w:hAnsi="標楷體"/>
          <w:sz w:val="28"/>
        </w:rPr>
        <w:t>和遮陰</w:t>
      </w:r>
      <w:proofErr w:type="gramEnd"/>
      <w:r>
        <w:rPr>
          <w:rFonts w:ascii="標楷體" w:eastAsia="標楷體" w:hAnsi="標楷體"/>
          <w:sz w:val="28"/>
        </w:rPr>
        <w:t>效果。例如，布農族以狩獵和農耕為主，他們會選擇在山間開墾田地，種植玉米、紅豆等</w:t>
      </w:r>
      <w:r>
        <w:rPr>
          <w:rFonts w:ascii="標楷體" w:eastAsia="標楷體" w:hAnsi="標楷體"/>
          <w:sz w:val="28"/>
        </w:rPr>
        <w:t>作物。而排灣族則擅長於製作稻米，農作物的豐收是他們重要的節慶原因之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。在他們的世界裡，人與自然和諧共處是非常重要的價值觀。</w:t>
      </w:r>
    </w:p>
    <w:p w14:paraId="01DCC55A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0D8BB3EA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t>原住民的節慶與信仰</w:t>
      </w:r>
    </w:p>
    <w:p w14:paraId="4381BD8D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臺灣原住民的節慶多數與農業生產、狩獵和宗教信仰相關。他們有自己的傳統節慶，</w:t>
      </w:r>
      <w:proofErr w:type="gramStart"/>
      <w:r>
        <w:rPr>
          <w:rFonts w:ascii="標楷體" w:eastAsia="標楷體" w:hAnsi="標楷體"/>
          <w:sz w:val="28"/>
        </w:rPr>
        <w:t>如排灣</w:t>
      </w:r>
      <w:proofErr w:type="gramEnd"/>
      <w:r>
        <w:rPr>
          <w:rFonts w:ascii="標楷體" w:eastAsia="標楷體" w:hAnsi="標楷體"/>
          <w:sz w:val="28"/>
        </w:rPr>
        <w:t>族的</w:t>
      </w:r>
      <w:r>
        <w:rPr>
          <w:rFonts w:ascii="標楷體" w:eastAsia="標楷體" w:hAnsi="標楷體"/>
          <w:sz w:val="28"/>
        </w:rPr>
        <w:t>“</w:t>
      </w:r>
      <w:r>
        <w:rPr>
          <w:rFonts w:ascii="標楷體" w:eastAsia="標楷體" w:hAnsi="標楷體"/>
          <w:sz w:val="28"/>
        </w:rPr>
        <w:t>豐年祭</w:t>
      </w:r>
      <w:r>
        <w:rPr>
          <w:rFonts w:ascii="標楷體" w:eastAsia="標楷體" w:hAnsi="標楷體"/>
          <w:sz w:val="28"/>
        </w:rPr>
        <w:t>”</w:t>
      </w:r>
      <w:r>
        <w:rPr>
          <w:rFonts w:ascii="標楷體" w:eastAsia="標楷體" w:hAnsi="標楷體"/>
          <w:sz w:val="28"/>
        </w:rPr>
        <w:t>和泰雅族的</w:t>
      </w:r>
      <w:r>
        <w:rPr>
          <w:rFonts w:ascii="標楷體" w:eastAsia="標楷體" w:hAnsi="標楷體"/>
          <w:sz w:val="28"/>
        </w:rPr>
        <w:t>“</w:t>
      </w:r>
      <w:r>
        <w:rPr>
          <w:rFonts w:ascii="標楷體" w:eastAsia="標楷體" w:hAnsi="標楷體"/>
          <w:sz w:val="28"/>
        </w:rPr>
        <w:t>祭祖</w:t>
      </w:r>
      <w:r>
        <w:rPr>
          <w:rFonts w:ascii="標楷體" w:eastAsia="標楷體" w:hAnsi="標楷體"/>
          <w:sz w:val="28"/>
        </w:rPr>
        <w:t>”</w:t>
      </w:r>
      <w:r>
        <w:rPr>
          <w:rFonts w:ascii="標楷體" w:eastAsia="標楷體" w:hAnsi="標楷體"/>
          <w:sz w:val="28"/>
        </w:rPr>
        <w:t>，這些節慶不僅是對祖先和自然的感恩，也是族人團結的象徵。在這些慶典中，族人們會聚集在一起跳舞、唱歌，表達他們的喜悅和感謝。</w:t>
      </w:r>
    </w:p>
    <w:p w14:paraId="635194C6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臺灣原住民各族的傳統信仰</w:t>
      </w:r>
      <w:proofErr w:type="gramStart"/>
      <w:r>
        <w:rPr>
          <w:rFonts w:ascii="標楷體" w:eastAsia="標楷體" w:hAnsi="標楷體"/>
          <w:sz w:val="28"/>
        </w:rPr>
        <w:t>為泛靈信仰</w:t>
      </w:r>
      <w:proofErr w:type="gramEnd"/>
      <w:r>
        <w:rPr>
          <w:rFonts w:ascii="標楷體" w:eastAsia="標楷體" w:hAnsi="標楷體"/>
          <w:sz w:val="28"/>
        </w:rPr>
        <w:t>。</w:t>
      </w:r>
      <w:proofErr w:type="gramStart"/>
      <w:r>
        <w:rPr>
          <w:rFonts w:ascii="標楷體" w:eastAsia="標楷體" w:hAnsi="標楷體"/>
          <w:sz w:val="28"/>
        </w:rPr>
        <w:t>泛靈是</w:t>
      </w:r>
      <w:proofErr w:type="gramEnd"/>
      <w:r>
        <w:rPr>
          <w:rFonts w:ascii="標楷體" w:eastAsia="標楷體" w:hAnsi="標楷體"/>
          <w:sz w:val="28"/>
        </w:rPr>
        <w:t>什麼呢？所謂的</w:t>
      </w:r>
      <w:proofErr w:type="gramStart"/>
      <w:r>
        <w:rPr>
          <w:rFonts w:ascii="標楷體" w:eastAsia="標楷體" w:hAnsi="標楷體"/>
          <w:sz w:val="28"/>
        </w:rPr>
        <w:t>泛靈指</w:t>
      </w:r>
      <w:proofErr w:type="gramEnd"/>
      <w:r>
        <w:rPr>
          <w:rFonts w:ascii="標楷體" w:eastAsia="標楷體" w:hAnsi="標楷體"/>
          <w:sz w:val="28"/>
        </w:rPr>
        <w:t>的是天地萬物、自然界現象、祖靈等皆有其靈。因此，早期</w:t>
      </w:r>
      <w:r>
        <w:rPr>
          <w:rFonts w:ascii="標楷體" w:eastAsia="標楷體" w:hAnsi="標楷體"/>
          <w:sz w:val="28"/>
        </w:rPr>
        <w:t>臺灣原住民族就因而衍生出各式各樣的山神、海神、河神、太陽神、樹神、小米神等自然崇拜，這種信仰使得原住民特別尊重自然，並在生活中不斷尋求與自然的和諧共生。現代的話，大多數原住民族會以基督教長老會及天主教為最多。</w:t>
      </w:r>
    </w:p>
    <w:p w14:paraId="4BC565DE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6EE1CBBD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t>原住民在現代的挑戰與轉變</w:t>
      </w:r>
    </w:p>
    <w:p w14:paraId="6752068C" w14:textId="77777777" w:rsidR="005B7783" w:rsidRDefault="0050500F">
      <w:pPr>
        <w:spacing w:line="400" w:lineRule="exact"/>
        <w:jc w:val="both"/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隨著社會的變遷，臺灣原住民的生活方式也正在發生變化。城市化的步調</w:t>
      </w:r>
      <w:r>
        <w:rPr>
          <w:rFonts w:ascii="標楷體" w:eastAsia="標楷體" w:hAnsi="標楷體"/>
          <w:sz w:val="28"/>
        </w:rPr>
        <w:lastRenderedPageBreak/>
        <w:t>變</w:t>
      </w: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4A963" wp14:editId="5F2324B0">
                <wp:simplePos x="0" y="0"/>
                <wp:positionH relativeFrom="margin">
                  <wp:posOffset>-11430</wp:posOffset>
                </wp:positionH>
                <wp:positionV relativeFrom="paragraph">
                  <wp:posOffset>-22860</wp:posOffset>
                </wp:positionV>
                <wp:extent cx="6362696" cy="5265416"/>
                <wp:effectExtent l="0" t="0" r="19054" b="11434"/>
                <wp:wrapNone/>
                <wp:docPr id="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526541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6576B8" id="矩形 11" o:spid="_x0000_s1026" style="position:absolute;margin-left:-.9pt;margin-top:-1.8pt;width:501pt;height:414.6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sz w:val="28"/>
        </w:rPr>
        <w:t>化快速，許多年輕的原住民選擇到城市工作和生活，導致傳統文化面臨挑戰。雖然如此，許多原住民團體</w:t>
      </w:r>
      <w:r>
        <w:rPr>
          <w:rFonts w:ascii="標楷體" w:eastAsia="標楷體" w:hAnsi="標楷體"/>
          <w:sz w:val="28"/>
        </w:rPr>
        <w:t>仍然努力保護和傳承他們的文化。他們組織社群活動和文化節，推廣自己的音樂、舞蹈和手工藝，讓更多人瞭解臺灣原住民的獨特魅力。在教育方面，臺灣政府也開始重視原住民的教育問題，推動雙語教育政策，使原住民的孩子能夠學習母語，同時也接觸國語，既保留自己的文化，也融入現代社會。</w:t>
      </w:r>
    </w:p>
    <w:p w14:paraId="50D2107C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5CF46E8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t>政府提供臺灣原住民的協助</w:t>
      </w:r>
    </w:p>
    <w:p w14:paraId="1BDFEE4D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政府提供原住民補助的目的是為了彌補原住民族在歷史上因壓迫、邊緣化所造成的經濟困境與不平等，並促進社會的公平正義與文化保存。這些補助涵蓋急難救助、教育（如升學加分、助學金）、醫療補助、生活扶助、就業補助等方面，旨</w:t>
      </w:r>
      <w:r>
        <w:rPr>
          <w:rFonts w:ascii="標楷體" w:eastAsia="標楷體" w:hAnsi="標楷體"/>
          <w:sz w:val="28"/>
        </w:rPr>
        <w:t>在協助原住民改善社會弱勢處境，使其有機會享有平等的教育與就業機會，並在多元文化社會中保有其獨特的文化認同與發展。</w:t>
      </w:r>
    </w:p>
    <w:p w14:paraId="78C5C667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臺灣原住民是這片土地上最早的居民，他們擁有獨特的文化和歷史背景。透過語言、藝術、信仰和傳統的生活方式，我們可以看到原住民與自然的緊密聯絡。雖然現代化的發展帶來了一些挑戰，但原住民的文化仍在不斷被珍視和傳承。</w:t>
      </w:r>
    </w:p>
    <w:p w14:paraId="565953BB" w14:textId="77777777" w:rsidR="005B7783" w:rsidRDefault="005B7783">
      <w:pPr>
        <w:spacing w:line="320" w:lineRule="exact"/>
        <w:jc w:val="both"/>
        <w:rPr>
          <w:rFonts w:ascii="標楷體" w:eastAsia="標楷體" w:hAnsi="標楷體"/>
          <w:sz w:val="28"/>
        </w:rPr>
      </w:pPr>
    </w:p>
    <w:p w14:paraId="3BEDFF94" w14:textId="77777777" w:rsidR="005B7783" w:rsidRDefault="0050500F">
      <w:pPr>
        <w:spacing w:line="320" w:lineRule="exact"/>
        <w:jc w:val="both"/>
      </w:pPr>
      <w:r>
        <w:rPr>
          <w:rFonts w:ascii="標楷體" w:eastAsia="標楷體" w:hAnsi="標楷體"/>
          <w:b/>
          <w:color w:val="002060"/>
          <w:sz w:val="28"/>
        </w:rPr>
        <w:t>◎</w:t>
      </w:r>
      <w:r>
        <w:rPr>
          <w:rFonts w:ascii="標楷體" w:eastAsia="標楷體" w:hAnsi="標楷體"/>
          <w:b/>
          <w:color w:val="002060"/>
          <w:sz w:val="28"/>
        </w:rPr>
        <w:t>資料來源：</w:t>
      </w:r>
    </w:p>
    <w:p w14:paraId="3472B805" w14:textId="77777777" w:rsidR="005B7783" w:rsidRDefault="0050500F">
      <w:pPr>
        <w:pStyle w:val="a6"/>
        <w:numPr>
          <w:ilvl w:val="0"/>
          <w:numId w:val="1"/>
        </w:numPr>
        <w:spacing w:line="320" w:lineRule="exact"/>
      </w:pPr>
      <w:hyperlink r:id="rId12" w:history="1">
        <w:r>
          <w:rPr>
            <w:rStyle w:val="a4"/>
            <w:rFonts w:ascii="標楷體" w:eastAsia="標楷體" w:hAnsi="標楷體"/>
            <w:sz w:val="28"/>
          </w:rPr>
          <w:t>https://www.ipc.gov.taipei/</w:t>
        </w:r>
      </w:hyperlink>
      <w:r>
        <w:rPr>
          <w:rFonts w:ascii="標楷體" w:eastAsia="標楷體" w:hAnsi="標楷體"/>
          <w:sz w:val="28"/>
        </w:rPr>
        <w:t>臺北市政府原住民族事務委員會</w:t>
      </w:r>
    </w:p>
    <w:p w14:paraId="300A56D5" w14:textId="77777777" w:rsidR="005B7783" w:rsidRDefault="0050500F">
      <w:pPr>
        <w:pStyle w:val="a6"/>
        <w:numPr>
          <w:ilvl w:val="0"/>
          <w:numId w:val="1"/>
        </w:numPr>
        <w:spacing w:line="320" w:lineRule="exact"/>
      </w:pPr>
      <w:hyperlink r:id="rId13" w:history="1">
        <w:r>
          <w:rPr>
            <w:rStyle w:val="a4"/>
            <w:rFonts w:ascii="標楷體" w:eastAsia="標楷體" w:hAnsi="標楷體"/>
            <w:sz w:val="28"/>
          </w:rPr>
          <w:t>https://explorethesun.tw/story_detail.php?id=55</w:t>
        </w:r>
      </w:hyperlink>
      <w:r>
        <w:rPr>
          <w:rFonts w:ascii="標楷體" w:eastAsia="標楷體" w:hAnsi="標楷體"/>
          <w:sz w:val="28"/>
        </w:rPr>
        <w:t>看見太陽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原住民產業平台</w:t>
      </w:r>
    </w:p>
    <w:p w14:paraId="17B1FA01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1D0BCED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5FEC8B4A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10A882C2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BACFD08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673EA5C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47F285B7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3E00A375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398BA183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3CBFE88B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949010D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70BA206B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2F7A9AC3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0D900847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699A52AC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、臺灣原住民的語言屬於哪一種語系？</w:t>
      </w:r>
    </w:p>
    <w:p w14:paraId="60628A3E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(a) </w:t>
      </w:r>
      <w:r>
        <w:rPr>
          <w:rFonts w:ascii="標楷體" w:eastAsia="標楷體" w:hAnsi="標楷體"/>
          <w:sz w:val="28"/>
        </w:rPr>
        <w:t>北島語系</w:t>
      </w:r>
      <w:r>
        <w:rPr>
          <w:rFonts w:ascii="標楷體" w:eastAsia="標楷體" w:hAnsi="標楷體"/>
          <w:sz w:val="28"/>
        </w:rPr>
        <w:t xml:space="preserve"> </w:t>
      </w:r>
    </w:p>
    <w:p w14:paraId="3F5E4CBB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(b) </w:t>
      </w:r>
      <w:r>
        <w:rPr>
          <w:rFonts w:ascii="標楷體" w:eastAsia="標楷體" w:hAnsi="標楷體"/>
          <w:sz w:val="28"/>
        </w:rPr>
        <w:t>南島語系</w:t>
      </w:r>
      <w:r>
        <w:rPr>
          <w:rFonts w:ascii="標楷體" w:eastAsia="標楷體" w:hAnsi="標楷體"/>
          <w:sz w:val="28"/>
        </w:rPr>
        <w:t xml:space="preserve"> </w:t>
      </w:r>
    </w:p>
    <w:p w14:paraId="1FB28477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(c) </w:t>
      </w:r>
      <w:r>
        <w:rPr>
          <w:rFonts w:ascii="標楷體" w:eastAsia="標楷體" w:hAnsi="標楷體"/>
          <w:sz w:val="28"/>
        </w:rPr>
        <w:t>北海語系</w:t>
      </w:r>
      <w:r>
        <w:rPr>
          <w:rFonts w:ascii="標楷體" w:eastAsia="標楷體" w:hAnsi="標楷體"/>
          <w:sz w:val="28"/>
        </w:rPr>
        <w:t xml:space="preserve"> </w:t>
      </w:r>
    </w:p>
    <w:p w14:paraId="1E909D9A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(d) </w:t>
      </w:r>
      <w:r>
        <w:rPr>
          <w:rFonts w:ascii="標楷體" w:eastAsia="標楷體" w:hAnsi="標楷體"/>
          <w:sz w:val="28"/>
        </w:rPr>
        <w:t>海南語系</w:t>
      </w:r>
    </w:p>
    <w:p w14:paraId="2CFAE4A7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3022ADFD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、以下哪</w:t>
      </w:r>
      <w:proofErr w:type="gramStart"/>
      <w:r>
        <w:rPr>
          <w:rFonts w:ascii="標楷體" w:eastAsia="標楷體" w:hAnsi="標楷體"/>
          <w:sz w:val="28"/>
        </w:rPr>
        <w:t>個</w:t>
      </w:r>
      <w:proofErr w:type="gramEnd"/>
      <w:r>
        <w:rPr>
          <w:rFonts w:ascii="標楷體" w:eastAsia="標楷體" w:hAnsi="標楷體"/>
          <w:sz w:val="28"/>
        </w:rPr>
        <w:t>項目不是臺灣原住民常用在祭典的特色文化？</w:t>
      </w:r>
    </w:p>
    <w:p w14:paraId="3D799C26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(a) </w:t>
      </w:r>
      <w:r>
        <w:rPr>
          <w:rFonts w:ascii="標楷體" w:eastAsia="標楷體" w:hAnsi="標楷體"/>
          <w:sz w:val="28"/>
        </w:rPr>
        <w:t>藝術技藝</w:t>
      </w:r>
      <w:r>
        <w:rPr>
          <w:rFonts w:ascii="標楷體" w:eastAsia="標楷體" w:hAnsi="標楷體"/>
          <w:sz w:val="28"/>
        </w:rPr>
        <w:t xml:space="preserve"> </w:t>
      </w:r>
    </w:p>
    <w:p w14:paraId="7D684474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(b) </w:t>
      </w:r>
      <w:r>
        <w:rPr>
          <w:rFonts w:ascii="標楷體" w:eastAsia="標楷體" w:hAnsi="標楷體"/>
          <w:sz w:val="28"/>
        </w:rPr>
        <w:t>音樂</w:t>
      </w:r>
      <w:r>
        <w:rPr>
          <w:rFonts w:ascii="標楷體" w:eastAsia="標楷體" w:hAnsi="標楷體"/>
          <w:sz w:val="28"/>
        </w:rPr>
        <w:t xml:space="preserve"> </w:t>
      </w:r>
    </w:p>
    <w:p w14:paraId="24171080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(c) </w:t>
      </w:r>
      <w:r>
        <w:rPr>
          <w:rFonts w:ascii="標楷體" w:eastAsia="標楷體" w:hAnsi="標楷體"/>
          <w:sz w:val="28"/>
        </w:rPr>
        <w:t>科技</w:t>
      </w:r>
      <w:r>
        <w:rPr>
          <w:rFonts w:ascii="標楷體" w:eastAsia="標楷體" w:hAnsi="標楷體"/>
          <w:sz w:val="28"/>
        </w:rPr>
        <w:t xml:space="preserve"> </w:t>
      </w:r>
    </w:p>
    <w:p w14:paraId="23E0C9CE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(d) </w:t>
      </w:r>
      <w:r>
        <w:rPr>
          <w:rFonts w:ascii="標楷體" w:eastAsia="標楷體" w:hAnsi="標楷體"/>
          <w:sz w:val="28"/>
        </w:rPr>
        <w:t>舞蹈</w:t>
      </w:r>
    </w:p>
    <w:p w14:paraId="01AAAC5F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0BA36566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、以下哪一個描述是錯誤的？</w:t>
      </w:r>
    </w:p>
    <w:p w14:paraId="1675A5F8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(a) </w:t>
      </w:r>
      <w:r>
        <w:rPr>
          <w:rFonts w:ascii="標楷體" w:eastAsia="標楷體" w:hAnsi="標楷體"/>
          <w:sz w:val="28"/>
        </w:rPr>
        <w:t>臺灣原住民的生活方式與自然環境密切相關。</w:t>
      </w:r>
    </w:p>
    <w:p w14:paraId="3A6CD022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(b) </w:t>
      </w:r>
      <w:r>
        <w:rPr>
          <w:rFonts w:ascii="標楷體" w:eastAsia="標楷體" w:hAnsi="標楷體"/>
          <w:sz w:val="28"/>
        </w:rPr>
        <w:t>臺灣原住民常用特色文化來慶祝重要節慶，例如：音樂、舞蹈等。</w:t>
      </w:r>
    </w:p>
    <w:p w14:paraId="7B798A04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(c) </w:t>
      </w:r>
      <w:r>
        <w:rPr>
          <w:rFonts w:ascii="標楷體" w:eastAsia="標楷體" w:hAnsi="標楷體"/>
          <w:sz w:val="28"/>
        </w:rPr>
        <w:t>政府開始重視臺灣原住民孩子學習母語的重要性。</w:t>
      </w:r>
    </w:p>
    <w:p w14:paraId="00B0C5ED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(d) </w:t>
      </w:r>
      <w:r>
        <w:rPr>
          <w:rFonts w:ascii="標楷體" w:eastAsia="標楷體" w:hAnsi="標楷體"/>
          <w:sz w:val="28"/>
        </w:rPr>
        <w:t>早期臺灣原住民信仰為單一神</w:t>
      </w:r>
      <w:proofErr w:type="gramStart"/>
      <w:r>
        <w:rPr>
          <w:rFonts w:ascii="標楷體" w:eastAsia="標楷體" w:hAnsi="標楷體"/>
          <w:sz w:val="28"/>
        </w:rPr>
        <w:t>祇</w:t>
      </w:r>
      <w:proofErr w:type="gramEnd"/>
      <w:r>
        <w:rPr>
          <w:rFonts w:ascii="標楷體" w:eastAsia="標楷體" w:hAnsi="標楷體"/>
          <w:sz w:val="28"/>
        </w:rPr>
        <w:t>的信仰。</w:t>
      </w:r>
    </w:p>
    <w:p w14:paraId="18A5BBFD" w14:textId="77777777" w:rsidR="005B7783" w:rsidRDefault="005B7783">
      <w:pPr>
        <w:spacing w:line="400" w:lineRule="exact"/>
        <w:jc w:val="both"/>
        <w:rPr>
          <w:rFonts w:ascii="標楷體" w:eastAsia="標楷體" w:hAnsi="標楷體"/>
          <w:color w:val="FF0000"/>
          <w:sz w:val="28"/>
        </w:rPr>
      </w:pPr>
    </w:p>
    <w:p w14:paraId="292996CE" w14:textId="77777777" w:rsidR="005B7783" w:rsidRDefault="0050500F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、請寫出政府提供臺灣原住民的兩種協助及符合哪</w:t>
      </w:r>
      <w:proofErr w:type="gramStart"/>
      <w:r>
        <w:rPr>
          <w:rFonts w:ascii="標楷體" w:eastAsia="標楷體" w:hAnsi="標楷體"/>
          <w:sz w:val="28"/>
        </w:rPr>
        <w:t>個</w:t>
      </w:r>
      <w:proofErr w:type="gramEnd"/>
      <w:r>
        <w:rPr>
          <w:rFonts w:ascii="標楷體" w:eastAsia="標楷體" w:hAnsi="標楷體"/>
          <w:sz w:val="28"/>
        </w:rPr>
        <w:t>聯合國</w:t>
      </w:r>
      <w:r>
        <w:rPr>
          <w:rFonts w:ascii="標楷體" w:eastAsia="標楷體" w:hAnsi="標楷體"/>
          <w:sz w:val="28"/>
        </w:rPr>
        <w:t>SDGs</w:t>
      </w:r>
      <w:r>
        <w:rPr>
          <w:rFonts w:ascii="標楷體" w:eastAsia="標楷體" w:hAnsi="標楷體"/>
          <w:sz w:val="28"/>
        </w:rPr>
        <w:t>的指標：</w:t>
      </w:r>
    </w:p>
    <w:p w14:paraId="3B8B1D2A" w14:textId="77777777" w:rsidR="005B7783" w:rsidRDefault="0050500F">
      <w:r>
        <w:rPr>
          <w:rStyle w:val="a4"/>
          <w:rFonts w:ascii="標楷體" w:eastAsia="標楷體" w:hAnsi="標楷體"/>
          <w:color w:val="auto"/>
          <w:sz w:val="28"/>
          <w:u w:val="none"/>
        </w:rPr>
        <w:t>答</w:t>
      </w:r>
      <w:r>
        <w:rPr>
          <w:rStyle w:val="a4"/>
          <w:rFonts w:ascii="標楷體" w:eastAsia="標楷體" w:hAnsi="標楷體"/>
          <w:color w:val="auto"/>
          <w:sz w:val="28"/>
          <w:u w:val="none"/>
        </w:rPr>
        <w:t>:______________________________________________________________</w:t>
      </w:r>
    </w:p>
    <w:p w14:paraId="62EA988E" w14:textId="77777777" w:rsidR="005B7783" w:rsidRDefault="0050500F"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2435917" wp14:editId="4CBDA970">
            <wp:simplePos x="0" y="0"/>
            <wp:positionH relativeFrom="margin">
              <wp:align>center</wp:align>
            </wp:positionH>
            <wp:positionV relativeFrom="paragraph">
              <wp:posOffset>193679</wp:posOffset>
            </wp:positionV>
            <wp:extent cx="5176711" cy="2543175"/>
            <wp:effectExtent l="0" t="0" r="4889" b="9525"/>
            <wp:wrapNone/>
            <wp:docPr id="6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711" cy="2543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EB5BE5" w14:textId="77777777" w:rsidR="005B7783" w:rsidRDefault="005B7783"/>
    <w:p w14:paraId="4C315800" w14:textId="77777777" w:rsidR="005B7783" w:rsidRDefault="005B7783"/>
    <w:p w14:paraId="1C09E2DA" w14:textId="77777777" w:rsidR="005B7783" w:rsidRDefault="005B7783"/>
    <w:p w14:paraId="4250796C" w14:textId="77777777" w:rsidR="005B7783" w:rsidRDefault="005B7783"/>
    <w:p w14:paraId="244EEEDD" w14:textId="77777777" w:rsidR="005B7783" w:rsidRDefault="005B7783"/>
    <w:p w14:paraId="032E6AD5" w14:textId="77777777" w:rsidR="005B7783" w:rsidRDefault="0050500F">
      <w:pPr>
        <w:jc w:val="center"/>
      </w:pPr>
      <w:r>
        <w:rPr>
          <w:rFonts w:ascii="標楷體" w:eastAsia="標楷體" w:hAnsi="標楷體"/>
          <w:sz w:val="28"/>
        </w:rPr>
        <w:t>圖片來源：未來城市</w:t>
      </w:r>
      <w:r>
        <w:rPr>
          <w:rFonts w:ascii="標楷體" w:eastAsia="標楷體" w:hAnsi="標楷體"/>
          <w:sz w:val="28"/>
        </w:rPr>
        <w:t>@</w:t>
      </w:r>
      <w:r>
        <w:rPr>
          <w:rFonts w:ascii="標楷體" w:eastAsia="標楷體" w:hAnsi="標楷體"/>
          <w:sz w:val="28"/>
        </w:rPr>
        <w:t>天下</w:t>
      </w:r>
      <w:hyperlink r:id="rId15" w:history="1">
        <w:r>
          <w:rPr>
            <w:rStyle w:val="a4"/>
            <w:rFonts w:ascii="標楷體" w:eastAsia="標楷體" w:hAnsi="標楷體"/>
          </w:rPr>
          <w:t>https://futurecity.cw.com.tw/article/1867</w:t>
        </w:r>
      </w:hyperlink>
    </w:p>
    <w:p w14:paraId="26C518FD" w14:textId="77777777" w:rsidR="005B7783" w:rsidRDefault="005B7783">
      <w:pPr>
        <w:spacing w:line="480" w:lineRule="exact"/>
        <w:jc w:val="both"/>
        <w:rPr>
          <w:rFonts w:ascii="標楷體" w:eastAsia="標楷體" w:hAnsi="標楷體"/>
          <w:color w:val="FF0000"/>
          <w:sz w:val="28"/>
          <w:shd w:val="clear" w:color="auto" w:fill="FFFFFF"/>
        </w:rPr>
      </w:pPr>
    </w:p>
    <w:sectPr w:rsidR="005B7783">
      <w:pgSz w:w="11906" w:h="16838"/>
      <w:pgMar w:top="1440" w:right="1133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CC5A" w14:textId="77777777" w:rsidR="0050500F" w:rsidRDefault="0050500F">
      <w:r>
        <w:separator/>
      </w:r>
    </w:p>
  </w:endnote>
  <w:endnote w:type="continuationSeparator" w:id="0">
    <w:p w14:paraId="165BA351" w14:textId="77777777" w:rsidR="0050500F" w:rsidRDefault="0050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5045" w14:textId="77777777" w:rsidR="0050500F" w:rsidRDefault="0050500F">
      <w:r>
        <w:rPr>
          <w:color w:val="000000"/>
        </w:rPr>
        <w:separator/>
      </w:r>
    </w:p>
  </w:footnote>
  <w:footnote w:type="continuationSeparator" w:id="0">
    <w:p w14:paraId="6B07BCF3" w14:textId="77777777" w:rsidR="0050500F" w:rsidRDefault="0050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50305"/>
    <w:multiLevelType w:val="multilevel"/>
    <w:tmpl w:val="2FC27E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7783"/>
    <w:rsid w:val="0050500F"/>
    <w:rsid w:val="005B7783"/>
    <w:rsid w:val="00F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267A"/>
  <w15:docId w15:val="{0D563475-0460-4B47-92F4-A79D36B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3">
    <w:name w:val="Strong"/>
    <w:basedOn w:val="a0"/>
    <w:rPr>
      <w:b/>
      <w:bCs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hzn33d">
    <w:name w:val="hzn33d"/>
    <w:basedOn w:val="a0"/>
  </w:style>
  <w:style w:type="character" w:styleId="a5">
    <w:name w:val="FollowedHyperlink"/>
    <w:basedOn w:val="a0"/>
    <w:rPr>
      <w:color w:val="954F72"/>
      <w:u w:val="single"/>
    </w:rPr>
  </w:style>
  <w:style w:type="paragraph" w:styleId="a6">
    <w:name w:val="List Paragraph"/>
    <w:basedOn w:val="a"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rc.jente.edu.tw/index.php/2014-02-10-07-04-36" TargetMode="External"/><Relationship Id="rId13" Type="http://schemas.openxmlformats.org/officeDocument/2006/relationships/hyperlink" Target="https://explorethesun.tw/story_detail.php?id=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p.gov.tw/zh-tw/tribe/grid-list/index.html?cumid=8F19BF08AE220D65" TargetMode="External"/><Relationship Id="rId12" Type="http://schemas.openxmlformats.org/officeDocument/2006/relationships/hyperlink" Target="https://www.ipc.gov.taipe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ress.adobe.com/page/7z6zJGywlb0Wq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spark.adobe.com/page/7z6zJGywlb0Wq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lhes</dc:creator>
  <dc:description/>
  <cp:lastModifiedBy>User</cp:lastModifiedBy>
  <cp:revision>2</cp:revision>
  <cp:lastPrinted>2025-09-26T02:58:00Z</cp:lastPrinted>
  <dcterms:created xsi:type="dcterms:W3CDTF">2025-10-08T23:26:00Z</dcterms:created>
  <dcterms:modified xsi:type="dcterms:W3CDTF">2025-10-08T23:26:00Z</dcterms:modified>
</cp:coreProperties>
</file>