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D6" w:rsidRDefault="007D14D6" w:rsidP="006D20DC">
      <w:pPr>
        <w:spacing w:line="240" w:lineRule="auto"/>
        <w:jc w:val="center"/>
        <w:rPr>
          <w:rFonts w:ascii="標楷體" w:eastAsia="標楷體" w:hAnsi="標楷體"/>
          <w:b/>
          <w:spacing w:val="0"/>
          <w:sz w:val="36"/>
          <w:szCs w:val="36"/>
        </w:rPr>
      </w:pPr>
      <w:r>
        <w:rPr>
          <w:rFonts w:ascii="標楷體" w:eastAsia="標楷體" w:hAnsi="標楷體" w:hint="eastAsia"/>
          <w:b/>
          <w:spacing w:val="0"/>
          <w:sz w:val="36"/>
          <w:szCs w:val="36"/>
        </w:rPr>
        <w:t>臺北市私立華興高級中等學校</w:t>
      </w:r>
    </w:p>
    <w:p w:rsidR="006D20DC" w:rsidRDefault="0057594C" w:rsidP="007D14D6">
      <w:pPr>
        <w:spacing w:line="240" w:lineRule="auto"/>
        <w:jc w:val="center"/>
        <w:rPr>
          <w:rFonts w:ascii="標楷體" w:eastAsia="標楷體" w:hAnsi="標楷體"/>
          <w:b/>
          <w:spacing w:val="0"/>
          <w:sz w:val="36"/>
          <w:szCs w:val="36"/>
        </w:rPr>
      </w:pPr>
      <w:r>
        <w:rPr>
          <w:rFonts w:ascii="標楷體" w:eastAsia="標楷體" w:hAnsi="標楷體" w:hint="eastAsia"/>
          <w:b/>
          <w:spacing w:val="0"/>
          <w:sz w:val="36"/>
          <w:szCs w:val="36"/>
        </w:rPr>
        <w:t>112</w:t>
      </w:r>
      <w:r w:rsidR="006D20DC">
        <w:rPr>
          <w:rFonts w:ascii="標楷體" w:eastAsia="標楷體" w:hAnsi="標楷體" w:hint="eastAsia"/>
          <w:b/>
          <w:spacing w:val="0"/>
          <w:sz w:val="36"/>
          <w:szCs w:val="36"/>
        </w:rPr>
        <w:t>學年度分組學習實施要點</w:t>
      </w:r>
    </w:p>
    <w:p w:rsidR="006D20DC" w:rsidRDefault="006D20DC" w:rsidP="006D20DC">
      <w:pPr>
        <w:spacing w:line="240" w:lineRule="auto"/>
        <w:jc w:val="center"/>
        <w:rPr>
          <w:rFonts w:ascii="標楷體" w:eastAsia="標楷體" w:hAnsi="標楷體"/>
          <w:spacing w:val="0"/>
          <w:sz w:val="36"/>
          <w:szCs w:val="36"/>
        </w:rPr>
      </w:pPr>
    </w:p>
    <w:p w:rsidR="006D20DC" w:rsidRDefault="006D20DC" w:rsidP="006D20DC">
      <w:pPr>
        <w:numPr>
          <w:ilvl w:val="0"/>
          <w:numId w:val="1"/>
        </w:numPr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依據「國民小學及國民中學常態編班及分組學習準則」及「臺北市國民中學常態編班及分組學習補充規定」訂定本實施要點。</w:t>
      </w:r>
    </w:p>
    <w:p w:rsidR="006D20DC" w:rsidRDefault="006D20DC" w:rsidP="006D20DC">
      <w:pPr>
        <w:numPr>
          <w:ilvl w:val="0"/>
          <w:numId w:val="1"/>
        </w:numPr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學校為因應學生學習之差異，就學生學習需求、課程教材、教學進度、教學方法或評量方式實施差異化設計，實施分組學習。</w:t>
      </w:r>
    </w:p>
    <w:p w:rsidR="006D20DC" w:rsidRDefault="006D20DC" w:rsidP="006D20DC">
      <w:pPr>
        <w:numPr>
          <w:ilvl w:val="0"/>
          <w:numId w:val="1"/>
        </w:numPr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分組學習辦理單位：由教務處訂定相關行政措施，由數學、理化科教學研究會各自討論相關適性教學活動方式，並由導師協助推動分組學習。</w:t>
      </w:r>
    </w:p>
    <w:p w:rsidR="006D20DC" w:rsidRPr="00E534C7" w:rsidRDefault="006D20DC" w:rsidP="00E534C7">
      <w:pPr>
        <w:numPr>
          <w:ilvl w:val="0"/>
          <w:numId w:val="1"/>
        </w:numPr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分組學習實施年段與科目</w:t>
      </w:r>
      <w:r w:rsidR="00E534C7">
        <w:rPr>
          <w:rFonts w:ascii="標楷體" w:eastAsia="標楷體" w:hAnsi="標楷體" w:hint="eastAsia"/>
          <w:spacing w:val="0"/>
          <w:szCs w:val="24"/>
        </w:rPr>
        <w:t>：</w:t>
      </w:r>
      <w:r w:rsidR="007D14D6" w:rsidRPr="00E534C7">
        <w:rPr>
          <w:rFonts w:ascii="標楷體" w:eastAsia="標楷體" w:hAnsi="標楷體" w:hint="eastAsia"/>
          <w:spacing w:val="0"/>
          <w:szCs w:val="24"/>
        </w:rPr>
        <w:t>國中二</w:t>
      </w:r>
      <w:r w:rsidRPr="00E534C7">
        <w:rPr>
          <w:rFonts w:ascii="標楷體" w:eastAsia="標楷體" w:hAnsi="標楷體" w:hint="eastAsia"/>
          <w:spacing w:val="0"/>
          <w:szCs w:val="24"/>
        </w:rPr>
        <w:t>年級就數學</w:t>
      </w:r>
      <w:r w:rsidR="007D14D6" w:rsidRPr="00E534C7">
        <w:rPr>
          <w:rFonts w:ascii="標楷體" w:eastAsia="標楷體" w:hAnsi="標楷體" w:hint="eastAsia"/>
          <w:spacing w:val="0"/>
          <w:szCs w:val="24"/>
        </w:rPr>
        <w:t>領域</w:t>
      </w:r>
      <w:r w:rsidRPr="00E534C7">
        <w:rPr>
          <w:rFonts w:ascii="標楷體" w:eastAsia="標楷體" w:hAnsi="標楷體" w:hint="eastAsia"/>
          <w:spacing w:val="0"/>
          <w:szCs w:val="24"/>
        </w:rPr>
        <w:t>實施分組學習。</w:t>
      </w:r>
    </w:p>
    <w:p w:rsidR="006D20DC" w:rsidRDefault="006D20DC" w:rsidP="006D20DC">
      <w:pPr>
        <w:numPr>
          <w:ilvl w:val="0"/>
          <w:numId w:val="1"/>
        </w:numPr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分組原則：</w:t>
      </w:r>
    </w:p>
    <w:p w:rsidR="006D20DC" w:rsidRDefault="006D20DC" w:rsidP="006D20DC">
      <w:pPr>
        <w:numPr>
          <w:ilvl w:val="0"/>
          <w:numId w:val="2"/>
        </w:numPr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每學期依前一學期學生該科學習成績予以分組。</w:t>
      </w:r>
    </w:p>
    <w:p w:rsidR="006D20DC" w:rsidRDefault="006D20DC" w:rsidP="006D20DC">
      <w:pPr>
        <w:numPr>
          <w:ilvl w:val="0"/>
          <w:numId w:val="2"/>
        </w:numPr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每年級七個班，兩班、兩班、三班共分三個班群，兩班分A、</w:t>
      </w:r>
      <w:r w:rsidR="0057594C">
        <w:rPr>
          <w:rFonts w:ascii="標楷體" w:eastAsia="標楷體" w:hAnsi="標楷體"/>
          <w:spacing w:val="0"/>
          <w:szCs w:val="24"/>
        </w:rPr>
        <w:t>B1</w:t>
      </w:r>
      <w:r>
        <w:rPr>
          <w:rFonts w:ascii="標楷體" w:eastAsia="標楷體" w:hAnsi="標楷體" w:hint="eastAsia"/>
          <w:spacing w:val="0"/>
          <w:szCs w:val="24"/>
        </w:rPr>
        <w:t>、</w:t>
      </w:r>
      <w:r w:rsidR="007D14D6">
        <w:rPr>
          <w:rFonts w:ascii="標楷體" w:eastAsia="標楷體" w:hAnsi="標楷體" w:hint="eastAsia"/>
          <w:spacing w:val="0"/>
          <w:szCs w:val="24"/>
        </w:rPr>
        <w:t>B</w:t>
      </w:r>
      <w:r w:rsidR="0057594C">
        <w:rPr>
          <w:rFonts w:ascii="標楷體" w:eastAsia="標楷體" w:hAnsi="標楷體"/>
          <w:spacing w:val="0"/>
          <w:szCs w:val="24"/>
        </w:rPr>
        <w:t>2</w:t>
      </w:r>
      <w:r>
        <w:rPr>
          <w:rFonts w:ascii="標楷體" w:eastAsia="標楷體" w:hAnsi="標楷體" w:hint="eastAsia"/>
          <w:spacing w:val="0"/>
          <w:szCs w:val="24"/>
        </w:rPr>
        <w:t>三組，三班分A、</w:t>
      </w:r>
      <w:r w:rsidR="0057594C">
        <w:rPr>
          <w:rFonts w:ascii="標楷體" w:eastAsia="標楷體" w:hAnsi="標楷體"/>
          <w:spacing w:val="0"/>
          <w:szCs w:val="24"/>
        </w:rPr>
        <w:t>B1</w:t>
      </w:r>
      <w:r>
        <w:rPr>
          <w:rFonts w:ascii="標楷體" w:eastAsia="標楷體" w:hAnsi="標楷體" w:hint="eastAsia"/>
          <w:spacing w:val="0"/>
          <w:szCs w:val="24"/>
        </w:rPr>
        <w:t>、</w:t>
      </w:r>
      <w:r w:rsidR="0057594C">
        <w:rPr>
          <w:rFonts w:ascii="標楷體" w:eastAsia="標楷體" w:hAnsi="標楷體"/>
          <w:spacing w:val="0"/>
          <w:szCs w:val="24"/>
        </w:rPr>
        <w:t>B2</w:t>
      </w:r>
      <w:r>
        <w:rPr>
          <w:rFonts w:ascii="標楷體" w:eastAsia="標楷體" w:hAnsi="標楷體" w:hint="eastAsia"/>
          <w:spacing w:val="0"/>
          <w:szCs w:val="24"/>
        </w:rPr>
        <w:t>、</w:t>
      </w:r>
      <w:r w:rsidR="007D14D6">
        <w:rPr>
          <w:rFonts w:ascii="標楷體" w:eastAsia="標楷體" w:hAnsi="標楷體" w:hint="eastAsia"/>
          <w:spacing w:val="0"/>
          <w:szCs w:val="24"/>
        </w:rPr>
        <w:t>B</w:t>
      </w:r>
      <w:r w:rsidR="0057594C">
        <w:rPr>
          <w:rFonts w:ascii="標楷體" w:eastAsia="標楷體" w:hAnsi="標楷體"/>
          <w:spacing w:val="0"/>
          <w:szCs w:val="24"/>
        </w:rPr>
        <w:t>3</w:t>
      </w:r>
      <w:r>
        <w:rPr>
          <w:rFonts w:ascii="標楷體" w:eastAsia="標楷體" w:hAnsi="標楷體" w:hint="eastAsia"/>
          <w:spacing w:val="0"/>
          <w:szCs w:val="24"/>
        </w:rPr>
        <w:t>四組。考量學生個人意願及該學科之學習需求，進行分組學習，且每班群安排於相同時段授課。</w:t>
      </w:r>
    </w:p>
    <w:p w:rsidR="006D20DC" w:rsidRDefault="006D20DC" w:rsidP="006D20DC">
      <w:pPr>
        <w:numPr>
          <w:ilvl w:val="0"/>
          <w:numId w:val="2"/>
        </w:numPr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分組學習每班人數不超過38人，並不低於14人。</w:t>
      </w:r>
    </w:p>
    <w:p w:rsidR="006D20DC" w:rsidRDefault="006D20DC" w:rsidP="006D20DC">
      <w:pPr>
        <w:pStyle w:val="a3"/>
        <w:numPr>
          <w:ilvl w:val="0"/>
          <w:numId w:val="1"/>
        </w:numPr>
        <w:spacing w:line="240" w:lineRule="auto"/>
        <w:ind w:leftChars="0"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實施方式</w:t>
      </w:r>
    </w:p>
    <w:p w:rsidR="006D20DC" w:rsidRDefault="006D20DC" w:rsidP="006D20DC">
      <w:pPr>
        <w:numPr>
          <w:ilvl w:val="0"/>
          <w:numId w:val="3"/>
        </w:numPr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實施分組學習前妥善規劃進行學生適性輔導及通知家長。</w:t>
      </w:r>
    </w:p>
    <w:p w:rsidR="006D20DC" w:rsidRDefault="006D20DC" w:rsidP="006D20DC">
      <w:pPr>
        <w:numPr>
          <w:ilvl w:val="0"/>
          <w:numId w:val="3"/>
        </w:numPr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實施分組學習之學科於教學研究會中，研訂教學進度、教材、教學方法及評量方式，經學校課程發展委員會通過後實施，並於學校課程計畫註記適性分組教學之科目。</w:t>
      </w:r>
    </w:p>
    <w:p w:rsidR="006D20DC" w:rsidRDefault="006D20DC" w:rsidP="006D20DC">
      <w:pPr>
        <w:numPr>
          <w:ilvl w:val="0"/>
          <w:numId w:val="3"/>
        </w:numPr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各組教學綱要及進度一致，僅教學深度依學生學習特性做彈性調整。</w:t>
      </w:r>
    </w:p>
    <w:p w:rsidR="006D20DC" w:rsidRDefault="006D20DC" w:rsidP="006D20DC">
      <w:pPr>
        <w:numPr>
          <w:ilvl w:val="0"/>
          <w:numId w:val="1"/>
        </w:numPr>
        <w:tabs>
          <w:tab w:val="left" w:pos="567"/>
        </w:tabs>
        <w:spacing w:line="240" w:lineRule="auto"/>
        <w:ind w:left="709" w:rightChars="-22" w:right="-54" w:hanging="709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實施分組學習之學科於教學研究會共同研議：</w:t>
      </w:r>
    </w:p>
    <w:p w:rsidR="006D20DC" w:rsidRDefault="006D20DC" w:rsidP="006D20DC">
      <w:pPr>
        <w:numPr>
          <w:ilvl w:val="0"/>
          <w:numId w:val="4"/>
        </w:numPr>
        <w:tabs>
          <w:tab w:val="left" w:pos="0"/>
        </w:tabs>
        <w:spacing w:line="240" w:lineRule="auto"/>
        <w:ind w:left="1418"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發展適合本校學生之教學模式，以延伸學生學習深度與廣度，或補強學習基礎，引發學習興趣。</w:t>
      </w:r>
    </w:p>
    <w:p w:rsidR="006D20DC" w:rsidRDefault="006D20DC" w:rsidP="006D20DC">
      <w:pPr>
        <w:numPr>
          <w:ilvl w:val="0"/>
          <w:numId w:val="4"/>
        </w:numPr>
        <w:tabs>
          <w:tab w:val="left" w:pos="0"/>
        </w:tabs>
        <w:spacing w:line="240" w:lineRule="auto"/>
        <w:ind w:left="1418"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每學年結束前預訂下學年實施分組學習之學科，於教學研究會訂定分組標準、課程教材、教學進度、評量方式等相關事宜，並經課程發展委員會通過後納入學校課程計畫實施。</w:t>
      </w:r>
    </w:p>
    <w:p w:rsidR="006D20DC" w:rsidRDefault="006D20DC" w:rsidP="006D20DC">
      <w:pPr>
        <w:numPr>
          <w:ilvl w:val="0"/>
          <w:numId w:val="1"/>
        </w:numPr>
        <w:tabs>
          <w:tab w:val="left" w:pos="0"/>
        </w:tabs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評量依下列方式辦理，並依學生成績評量辦法評定成績。</w:t>
      </w:r>
    </w:p>
    <w:p w:rsidR="006D20DC" w:rsidRDefault="006D20DC" w:rsidP="006D20DC">
      <w:pPr>
        <w:numPr>
          <w:ilvl w:val="0"/>
          <w:numId w:val="5"/>
        </w:numPr>
        <w:tabs>
          <w:tab w:val="left" w:pos="0"/>
        </w:tabs>
        <w:spacing w:line="240" w:lineRule="auto"/>
        <w:ind w:left="1418"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定期評量：定期評量為統一命題，採一致性學科評量、定期考查之測驗。</w:t>
      </w:r>
    </w:p>
    <w:p w:rsidR="006D20DC" w:rsidRDefault="006D20DC" w:rsidP="006D20DC">
      <w:pPr>
        <w:numPr>
          <w:ilvl w:val="0"/>
          <w:numId w:val="5"/>
        </w:numPr>
        <w:tabs>
          <w:tab w:val="left" w:pos="0"/>
        </w:tabs>
        <w:spacing w:line="240" w:lineRule="auto"/>
        <w:ind w:left="1418"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平時評量：平時評量應考慮各組的學習特性及課程內容，適性命題，進行多元評量。</w:t>
      </w:r>
    </w:p>
    <w:p w:rsidR="006D20DC" w:rsidRDefault="006D20DC" w:rsidP="006D20DC">
      <w:pPr>
        <w:numPr>
          <w:ilvl w:val="0"/>
          <w:numId w:val="1"/>
        </w:numPr>
        <w:tabs>
          <w:tab w:val="left" w:pos="0"/>
        </w:tabs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學生輔導：於</w:t>
      </w:r>
      <w:r w:rsidR="0057594C">
        <w:rPr>
          <w:rFonts w:ascii="標楷體" w:eastAsia="標楷體" w:hAnsi="標楷體" w:hint="eastAsia"/>
          <w:spacing w:val="0"/>
          <w:szCs w:val="24"/>
        </w:rPr>
        <w:t>11</w:t>
      </w:r>
      <w:r w:rsidR="0057594C">
        <w:rPr>
          <w:rFonts w:ascii="標楷體" w:eastAsia="標楷體" w:hAnsi="標楷體"/>
          <w:spacing w:val="0"/>
          <w:szCs w:val="24"/>
        </w:rPr>
        <w:t>2</w:t>
      </w:r>
      <w:r>
        <w:rPr>
          <w:rFonts w:ascii="標楷體" w:eastAsia="標楷體" w:hAnsi="標楷體" w:hint="eastAsia"/>
          <w:spacing w:val="0"/>
          <w:szCs w:val="24"/>
        </w:rPr>
        <w:t>年</w:t>
      </w:r>
      <w:r w:rsidR="0057594C">
        <w:rPr>
          <w:rFonts w:ascii="標楷體" w:eastAsia="標楷體" w:hAnsi="標楷體"/>
          <w:spacing w:val="0"/>
          <w:szCs w:val="24"/>
        </w:rPr>
        <w:t>3</w:t>
      </w:r>
      <w:r>
        <w:rPr>
          <w:rFonts w:ascii="標楷體" w:eastAsia="標楷體" w:hAnsi="標楷體" w:hint="eastAsia"/>
          <w:spacing w:val="0"/>
          <w:szCs w:val="24"/>
        </w:rPr>
        <w:t>月</w:t>
      </w:r>
      <w:r w:rsidR="0057594C">
        <w:rPr>
          <w:rFonts w:ascii="標楷體" w:eastAsia="標楷體" w:hAnsi="標楷體" w:hint="eastAsia"/>
          <w:spacing w:val="0"/>
          <w:szCs w:val="24"/>
        </w:rPr>
        <w:t>4</w:t>
      </w:r>
      <w:r>
        <w:rPr>
          <w:rFonts w:ascii="標楷體" w:eastAsia="標楷體" w:hAnsi="標楷體" w:hint="eastAsia"/>
          <w:spacing w:val="0"/>
          <w:szCs w:val="24"/>
        </w:rPr>
        <w:t>日(六)辦</w:t>
      </w:r>
      <w:bookmarkStart w:id="0" w:name="_GoBack"/>
      <w:bookmarkEnd w:id="0"/>
      <w:r>
        <w:rPr>
          <w:rFonts w:ascii="標楷體" w:eastAsia="標楷體" w:hAnsi="標楷體" w:hint="eastAsia"/>
          <w:spacing w:val="0"/>
          <w:szCs w:val="24"/>
        </w:rPr>
        <w:t>理適性分組說明會，邀請實施適性</w:t>
      </w:r>
      <w:r>
        <w:rPr>
          <w:rFonts w:ascii="標楷體" w:eastAsia="標楷體" w:hAnsi="標楷體" w:hint="eastAsia"/>
          <w:spacing w:val="0"/>
          <w:szCs w:val="24"/>
        </w:rPr>
        <w:lastRenderedPageBreak/>
        <w:t>分組年級教師與家長參加(含家長會代表、身心障礙學生家長、特教學生教師、各年級教師代表、行政人員)，說明適性分組教學實施方式，充分說明交流、溝通討論。</w:t>
      </w:r>
    </w:p>
    <w:p w:rsidR="00B85E47" w:rsidRDefault="00B85E47" w:rsidP="006D20DC">
      <w:pPr>
        <w:numPr>
          <w:ilvl w:val="0"/>
          <w:numId w:val="1"/>
        </w:numPr>
        <w:tabs>
          <w:tab w:val="left" w:pos="0"/>
        </w:tabs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相關經費：由本校經費支應。</w:t>
      </w:r>
    </w:p>
    <w:p w:rsidR="006D20DC" w:rsidRDefault="006D20DC" w:rsidP="006D20DC">
      <w:pPr>
        <w:numPr>
          <w:ilvl w:val="0"/>
          <w:numId w:val="1"/>
        </w:numPr>
        <w:tabs>
          <w:tab w:val="left" w:pos="0"/>
        </w:tabs>
        <w:spacing w:line="240" w:lineRule="auto"/>
        <w:ind w:rightChars="-22" w:right="-54"/>
        <w:rPr>
          <w:rFonts w:ascii="標楷體" w:eastAsia="標楷體" w:hAnsi="標楷體"/>
          <w:spacing w:val="0"/>
          <w:szCs w:val="24"/>
        </w:rPr>
      </w:pPr>
      <w:r>
        <w:rPr>
          <w:rFonts w:ascii="標楷體" w:eastAsia="標楷體" w:hAnsi="標楷體" w:hint="eastAsia"/>
          <w:spacing w:val="0"/>
          <w:szCs w:val="24"/>
        </w:rPr>
        <w:t>本要點經年級教師代表、特教教師、家長會代表、身心障礙學生家長代表及行政人員共同討論通過，陳請校長核定後發布實施，修正時亦同。</w:t>
      </w:r>
    </w:p>
    <w:sectPr w:rsidR="006D20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DB6" w:rsidRDefault="00113DB6" w:rsidP="00E534C7">
      <w:pPr>
        <w:spacing w:line="240" w:lineRule="auto"/>
      </w:pPr>
      <w:r>
        <w:separator/>
      </w:r>
    </w:p>
  </w:endnote>
  <w:endnote w:type="continuationSeparator" w:id="0">
    <w:p w:rsidR="00113DB6" w:rsidRDefault="00113DB6" w:rsidP="00E53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DB6" w:rsidRDefault="00113DB6" w:rsidP="00E534C7">
      <w:pPr>
        <w:spacing w:line="240" w:lineRule="auto"/>
      </w:pPr>
      <w:r>
        <w:separator/>
      </w:r>
    </w:p>
  </w:footnote>
  <w:footnote w:type="continuationSeparator" w:id="0">
    <w:p w:rsidR="00113DB6" w:rsidRDefault="00113DB6" w:rsidP="00E534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6FBD"/>
    <w:multiLevelType w:val="hybridMultilevel"/>
    <w:tmpl w:val="F57AD41E"/>
    <w:lvl w:ilvl="0" w:tplc="64BC1BAC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0F398D"/>
    <w:multiLevelType w:val="hybridMultilevel"/>
    <w:tmpl w:val="7DAA6EE4"/>
    <w:lvl w:ilvl="0" w:tplc="BEEAC6E2">
      <w:start w:val="1"/>
      <w:numFmt w:val="taiwaneseCountingThousand"/>
      <w:lvlText w:val="(%1)"/>
      <w:lvlJc w:val="left"/>
      <w:pPr>
        <w:ind w:left="1428" w:hanging="72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>
      <w:start w:val="1"/>
      <w:numFmt w:val="decimal"/>
      <w:lvlText w:val="%4."/>
      <w:lvlJc w:val="left"/>
      <w:pPr>
        <w:ind w:left="2628" w:hanging="480"/>
      </w:pPr>
    </w:lvl>
    <w:lvl w:ilvl="4" w:tplc="04090019">
      <w:start w:val="1"/>
      <w:numFmt w:val="ideographTraditional"/>
      <w:lvlText w:val="%5、"/>
      <w:lvlJc w:val="left"/>
      <w:pPr>
        <w:ind w:left="3108" w:hanging="480"/>
      </w:pPr>
    </w:lvl>
    <w:lvl w:ilvl="5" w:tplc="0409001B">
      <w:start w:val="1"/>
      <w:numFmt w:val="lowerRoman"/>
      <w:lvlText w:val="%6."/>
      <w:lvlJc w:val="right"/>
      <w:pPr>
        <w:ind w:left="3588" w:hanging="480"/>
      </w:pPr>
    </w:lvl>
    <w:lvl w:ilvl="6" w:tplc="0409000F">
      <w:start w:val="1"/>
      <w:numFmt w:val="decimal"/>
      <w:lvlText w:val="%7."/>
      <w:lvlJc w:val="left"/>
      <w:pPr>
        <w:ind w:left="4068" w:hanging="480"/>
      </w:pPr>
    </w:lvl>
    <w:lvl w:ilvl="7" w:tplc="04090019">
      <w:start w:val="1"/>
      <w:numFmt w:val="ideographTraditional"/>
      <w:lvlText w:val="%8、"/>
      <w:lvlJc w:val="left"/>
      <w:pPr>
        <w:ind w:left="4548" w:hanging="480"/>
      </w:pPr>
    </w:lvl>
    <w:lvl w:ilvl="8" w:tplc="0409001B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591B390F"/>
    <w:multiLevelType w:val="hybridMultilevel"/>
    <w:tmpl w:val="3F6207FC"/>
    <w:lvl w:ilvl="0" w:tplc="2EF26E6E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2701AD"/>
    <w:multiLevelType w:val="hybridMultilevel"/>
    <w:tmpl w:val="7EC4C112"/>
    <w:lvl w:ilvl="0" w:tplc="13086E4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DF336F"/>
    <w:multiLevelType w:val="hybridMultilevel"/>
    <w:tmpl w:val="7DAA6EE4"/>
    <w:lvl w:ilvl="0" w:tplc="BEEAC6E2">
      <w:start w:val="1"/>
      <w:numFmt w:val="taiwaneseCountingThousand"/>
      <w:lvlText w:val="(%1)"/>
      <w:lvlJc w:val="left"/>
      <w:pPr>
        <w:ind w:left="1428" w:hanging="72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>
      <w:start w:val="1"/>
      <w:numFmt w:val="decimal"/>
      <w:lvlText w:val="%4."/>
      <w:lvlJc w:val="left"/>
      <w:pPr>
        <w:ind w:left="2628" w:hanging="480"/>
      </w:pPr>
    </w:lvl>
    <w:lvl w:ilvl="4" w:tplc="04090019">
      <w:start w:val="1"/>
      <w:numFmt w:val="ideographTraditional"/>
      <w:lvlText w:val="%5、"/>
      <w:lvlJc w:val="left"/>
      <w:pPr>
        <w:ind w:left="3108" w:hanging="480"/>
      </w:pPr>
    </w:lvl>
    <w:lvl w:ilvl="5" w:tplc="0409001B">
      <w:start w:val="1"/>
      <w:numFmt w:val="lowerRoman"/>
      <w:lvlText w:val="%6."/>
      <w:lvlJc w:val="right"/>
      <w:pPr>
        <w:ind w:left="3588" w:hanging="480"/>
      </w:pPr>
    </w:lvl>
    <w:lvl w:ilvl="6" w:tplc="0409000F">
      <w:start w:val="1"/>
      <w:numFmt w:val="decimal"/>
      <w:lvlText w:val="%7."/>
      <w:lvlJc w:val="left"/>
      <w:pPr>
        <w:ind w:left="4068" w:hanging="480"/>
      </w:pPr>
    </w:lvl>
    <w:lvl w:ilvl="7" w:tplc="04090019">
      <w:start w:val="1"/>
      <w:numFmt w:val="ideographTraditional"/>
      <w:lvlText w:val="%8、"/>
      <w:lvlJc w:val="left"/>
      <w:pPr>
        <w:ind w:left="4548" w:hanging="480"/>
      </w:pPr>
    </w:lvl>
    <w:lvl w:ilvl="8" w:tplc="0409001B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19"/>
    <w:rsid w:val="00113DB6"/>
    <w:rsid w:val="00521413"/>
    <w:rsid w:val="0057594C"/>
    <w:rsid w:val="006D20DC"/>
    <w:rsid w:val="007D14D6"/>
    <w:rsid w:val="008760CA"/>
    <w:rsid w:val="00B85E47"/>
    <w:rsid w:val="00C65B19"/>
    <w:rsid w:val="00E20FFF"/>
    <w:rsid w:val="00E5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F0F18"/>
  <w15:chartTrackingRefBased/>
  <w15:docId w15:val="{AF681F81-790E-489D-A352-C3F6C094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DC"/>
    <w:pPr>
      <w:widowControl w:val="0"/>
      <w:adjustRightInd w:val="0"/>
      <w:spacing w:line="360" w:lineRule="exact"/>
    </w:pPr>
    <w:rPr>
      <w:rFonts w:ascii="Times New Roman" w:eastAsia="細明體" w:hAnsi="Times New Roman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0D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34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534C7"/>
    <w:rPr>
      <w:rFonts w:ascii="Times New Roman" w:eastAsia="細明體" w:hAnsi="Times New Roman" w:cs="Times New Roman"/>
      <w:spacing w:val="2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34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534C7"/>
    <w:rPr>
      <w:rFonts w:ascii="Times New Roman" w:eastAsia="細明體" w:hAnsi="Times New Roman" w:cs="Times New Roman"/>
      <w:spacing w:val="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2022-11-01T08:35:00Z</dcterms:created>
  <dcterms:modified xsi:type="dcterms:W3CDTF">2023-08-17T00:42:00Z</dcterms:modified>
</cp:coreProperties>
</file>